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KSHMP-EAAPDzB-26/02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KSHMP-EAAPDzB-26/01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KSHMP-EAAPDzB-26/02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Легкий грузовик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4.7436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440.35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2025.12.09.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KSHMP-EAAPDzB-26/02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KSHMP-EAAPDzB-26/02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KSHMP-EAAPDzB-26/02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"KSHMP-EAAPDzB-26/02"*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KSHMP-EAAPDzB-26/02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"KSHMP-EAAPDzB-26/02"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"KSHMP-EAAPDzB-26/02"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KSHMP-EAAPDzB-26/02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Легкий грузовик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2025 г.
Пробег: Не более 500 км
Привод: Задний (RWD),
Объем двигателя: Не менее 1950 см³,
Мощность двигателя: Не менее 84 кВт / 114 л.с.,
Максимальный крутящий момент при 1400 об/мин: 300 Н·м,
Рулевое управление: Левое,
Масса: Передняя ось: Не менее 1307 кг,
Задняя ось: Не менее 956 кг,
Полная масса: Не менее 2263 кг,
Максимально допустимое распределение массы: Передняя ось: Не менее 1860 кг,
Задняя ось: Не менее 2250 кг,
Нагрузка на заднюю ось: Не менее 1237 кг,
Допустимая полная масса автомобиля: Не менее 3500 кг,
Геометрические параметры (согласно чертежу ниже):
Габаритная длина: Не менее 5932 мм,
Колесная база: не менее 3665 мм,
Световой пучок (в самой нижней точке): не менее 188 мм,
Высота: не менее 2707 мм, Ширина с наружными зеркалами: не менее 2345 мм,
Ширина без зеркал: не менее 2020 мм,
Высота грузового отсека: не менее 2009 мм,
Длина грузового отсека: не менее 3272 мм,
Угол передней подвески: не менее 18,4°,
Угол задней подвески: не менее 21,1°,
Угол рампы: не менее 17,4°,
Ширина внешней колесной арки: не менее 920 мм. Автомобиль должен иметь следующее техническое описание:
• Цвет: Arctic White
• Топливный фильтр с водоотделителем
• Пакет шумоизоляции
• Отделка салона тканью Maturin
• Стальные диски: 6.5 J x 16
• Размер шин: 235/65 R16 C
• Крепление запасного колеса за задней осью (под аркой заднего колеса)
• Запасное колесо
• 6-ступенчатая механическая коробка передач
• Дополнительный усилитель передней оси
• Теплоизоляция со светопоглощающей полосой на лобовом стекле
• Правая сдвижная дверь
• Задняя складная дверь, открывающаяся на 270°
• Продольные усилители кузова
• Задний фаркоп
• Регулируемый кондиционер
• Продольная полка под лобовым стеклом
• Вещевой отсек под передней панелью
• Регулировка рулевой колонки в двух направлениях
• Полная перегородка
• Ручка доступа водителя и пассажира
• Ручка доступа сдвижной двери
• Внутренняя ручка на правой стойке
• Корпус кабеля питания на боковой стенке
• Корпус кабеля питания на задней стенке
• Аудиосистема и видеосистема
• Система активного экстренного торможения
• Датчик ремня безопасности пассажира
• Датчик видимости
• Круиз-контроль
• Подушка безопасности водителя
• Подушка безопасности переднего пассажира
• Многофункциональное рулевое колесо
• Система помощи при трогании с места
• USB-разъем 5 В
• Разъем для подключения дополнительного аккумулятора
• Камера заднего вида
• Спидометр, км
• Датчик наружной температуры
• Гидравлический домкрат
• Аккумулятор для экстремальных условий 12 В 70 А·ч
• Электронное руководство по эксплуатации
• Система подвески для плохих дорог.
Гарантийный и послегарантийный период обслуживания 2 года, без ограничения пробега.
1. Изделие не должно быть в эксплуатации, не подвергалось ремонту, замене или реставрации, не должно находиться под залогом, залогом или иным обременением.
2. Изделие не должно иметь следов механических повреждений, а также иных несоответствий официальному описанию поставляемого товара.
3. Компания обязуется проводить соответствующее обучение мастеров авторемонта, знакомя их с профессиональными инструкциями, необходимыми для проведения ремонта.
4. Поставщик должен иметь официальное представительство и официальный сервисный центр в г. Ереван.
5. Поставщик должен предоставить информацию об условиях эксплуатации поставляемой продукции (включая тип и характеристики масел, используемых для двигателя и гидравлической системы автомобиля в зимний и летний периоды), а также об условиях хранения.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календарных дней со дня вступления в силу заключаемого между сторонами соглашения в случае предусмотрения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