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автобус»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Тевосян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ԵԱ-ԷԱՃԱՊՁԲ-25/80  для нужд ЗАО «Еревани автобус».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автобус»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ԵԱ-ԷԱՃԱՊՁԲ-25/80</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автобус»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автобус»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ԵԱ-ԷԱՃԱՊՁԲ-25/80  для нужд ЗАО «Еревани автобус».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ԵԱ-ԷԱՃԱՊՁԲ-25/80  для нужд ЗАО «Еревани автобус».</w:t>
      </w:r>
      <w:r>
        <w:rPr>
          <w:rFonts w:ascii="Calibri" w:hAnsi="Calibri" w:cstheme="minorHAnsi"/>
          <w:b/>
          <w:lang w:val="ru-RU"/>
        </w:rPr>
        <w:t xml:space="preserve">ДЛЯ НУЖД  </w:t>
      </w:r>
      <w:r>
        <w:rPr>
          <w:rFonts w:ascii="Calibri" w:hAnsi="Calibri" w:cstheme="minorHAnsi"/>
          <w:b/>
          <w:sz w:val="24"/>
          <w:szCs w:val="24"/>
          <w:lang w:val="af-ZA"/>
        </w:rPr>
        <w:t>ЗАО «Ереванский автобус»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ԵԱ-ԷԱՃԱՊՁԲ-25/80  для нужд ЗАО «Еревани автобус».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 Медицинский бинт
Размер – 5 см x 10 м
Плотность – 30 г/м2 +-10%
Тип – Стерильный (дезинфицированный)
Материал – Хлопок
Упаковка – Индивидуальная упаковка.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5 см x 10 м
Тип – Нестерильный (недезинфицированный)
Материал – Хлопок
Плотность – 30 г/м2 +-10%
Цвет – Белый
Упаковка – Индивидуальная или групповая
Назначение – Для фиксации ран и повязок в медицинском применении.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Длина: 0,6 м, Ширина: 60 мм
Тип – Эластичный
Материал – Хлопок и латексные нити
Растяжимость – Средняя эластичность (до 150%)
Цвет – Бежевый или белый
Упаковка – Индивидуальная упаковка
Назначение – Используется для компрессионных, фиксирующих и спортивных повязок.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медицинские Материал – Нержавеющая сталь
Назначение – Для разрезания повязок и медицинских материалов
Размер – 13 см.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(дезинфицированная) – 50 г
Вес – 50 г
Тип – Стерильная
Материал – 100% хлопок.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Материал – Резина
Назначение – Для остановки кровотечения в экстренных случаях.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Клейкая медицинская лента
Ширина – Разная (2–5 см)
Назначение – Для фиксации повязок или бинтов.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30 мл
Концентрация – 10%
Назначение – Для дезинфекции кожи и ран.
Товар должен быть новым и неиспользованным, а транспортировка и разгрузка осуществляются поставщиком.
Сроки годности лекарств на момент передачи Покупателю должны быть следующими:
a. Лекарственные средства со сроком годности более 2,5 лет на момент передачи должны иметь остаточный срок годности не менее 2 лет;
б. Лекарственные средства со сроком годности до 2,5 лет на момент передачи должны иметь не менее двух третей от общего срока годности препарата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