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ԷՆ-ԷԱՃԱՊՁԲ-25-26/94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ВАКЦИНА ПРОТИВ 55 ШТАММОВ ЖИВОТНЫХ, ОДОБРЕНО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Гарибджанян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agharibjanyan@mineconomy.am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ԷՆ-ԷԱՃԱՊՁԲ-25-26/94</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ВАКЦИНА ПРОТИВ 55 ШТАММОВ ЖИВОТНЫХ, ОДОБРЕНО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ВАКЦИНА ПРОТИВ 55 ШТАММОВ ЖИВОТНЫХ, ОДОБРЕНО</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ԷՆ-ԷԱՃԱՊՁԲ-25-26/94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agharibjanyan@mineconomy.am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ВАКЦИНА ПРОТИВ 55 ШТАММОВ ЖИВОТНЫХ, ОДОБРЕНО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используемые в ветеринарии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381.6</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ԷՆ-ԷԱՃԱՊՁԲ-25-26/94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ԷՆ-ԷԱՃԱՊՁԲ-25-26/94"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ԷՆ-ԷԱՃԱՊՁԲ-25-26/94*.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ԷՆ-ԷԱՃԱՊՁԲ-25-26/94"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ԷՆ-ԷԱՃԱՊՁԲ-25-26/94*.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ԷՆ-ԷԱՃԱՊՁԲ-25-26/94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используемые в ветеринарии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 представляет собой беловато-сероватую однородную массу, при хранении которого, на дне флакона образуется осадок в виде таблетки 1см3, 2 см3 или 3 см3 или жидкость в 10 мл или 20 мл флаконах, который содержит до 50 мл (до 50 доз) для внутрикожной или подкожной инъекции. Остаточный срок годности не менее 20 месяцев. Температура хранения и перевозки вакцины должен быть от +20 до +80 C. 
Вакцина выпускается во флаконах укупоренными резиновыми пробками, укрепленными металлическими колпачками или же в запаянных ампулах.  
На каждом флаконе должно быть наименование вакцины, изготовителя, дозы, номер серии, дата изготовления и срок годности, а на пачке флаконов должна быть этикетка, на которой должны быть отмечены наименование организации производителя, количество флаконов, номер серии, дата изготовления и условия сохранения вакцины. Наличие температурных показателей обязательно.   
На этикетке должна быть надпись Государственный заказ, не подлежит продаже. 
Вакцина должна быть изготовлена в соответствии стандарту Надлежащей производственной практики /Good Manufacturing Practice (GMP)/․ Вакцина должна быть зарегистрирована в Республике Армения или в странах-членов Евразийского экономического союза.
Вакцина должна соотвествовать требованиям по импорту и транспортировке лекарственных средств, используемых в ветеринарии на таможенной территории Евразийского экономического союза.Участник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