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ՈՒՍԱՆՈՂԱԿԱՆ ԽՈՐՀՐԴԻ ԿԱՐԻՔՆԵՐԻ ՀԱՄԱՐ ՀԱՊՀ-ԷԱԱՊՁԲ-25/44 ԾԱԾԿԱԳՐՈՎ ԳՐԱՖԻԿԱԿԱՆ ԷԿՐԱՆՈՎ ՎԱՀԱՆԱԿՆԵՐԻ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ՈՒՍԱՆՈՂԱԿԱՆ ԽՈՐՀՐԴԻ ԿԱՐԻՔՆԵՐԻ ՀԱՄԱՐ ՀԱՊՀ-ԷԱԱՊՁԲ-25/44 ԾԱԾԿԱԳՐՈՎ ԳՐԱՖԻԿԱԿԱՆ ԷԿՐԱՆՈՎ ՎԱՀԱՆԱԿՆԵՐԻ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ՈՒՍԱՆՈՂԱԿԱՆ ԽՈՐՀՐԴԻ ԿԱՐԻՔՆԵՐԻ ՀԱՄԱՐ ՀԱՊՀ-ԷԱԱՊՁԲ-25/44 ԾԱԾԿԱԳՐՈՎ ԳՐԱՖԻԿԱԿԱՆ ԷԿՐԱՆՈՎ ՎԱՀԱՆԱԿՆԵՐԻ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ՈՒՍԱՆՈՂԱԿԱՆ ԽՈՐՀՐԴԻ ԿԱՐԻՔՆԵՐԻ ՀԱՄԱՐ ՀԱՊՀ-ԷԱԱՊՁԲ-25/44 ԾԱԾԿԱԳՐՈՎ ԳՐԱՖԻԿԱԿԱՆ ԷԿՐԱՆՈՎ ՎԱՀԱՆԱԿՆԵՐԻ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էկրանով վահանակներ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ՈՒՍԱՆՈՂԱԿԱՆ ԽՈՐՀՐԴԻ ԿԱՐԻՔՆԵՐԻ ՀԱՄԱՐ ԳՐԱՖԻԿԱԿԱՆ ԷԿՐԱՆՈՎ ՎԱՀԱՆԱԿՆԵՐԻ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էկրանով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էկրանով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