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ՄՍԾ ԷԱՃԱՊՁԲ-26/1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ՄՍԾ ԷԱՃԱՊՁԲ-26/1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ՄՍԾ 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441.07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ՄՍԾ ԷԱՃԱՊՁԲ-26/1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ՄՍԾ ԷԱՃԱՊՁԲ-26/1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«ՄՍԾ ԷԱՃԱՊՁԲ-26/1»*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ՄԻԱՍՆԱԿԱՆ ՍՈՑԻԱԼԱԿԱՆ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ՄՍԾ ԷԱՃԱՊՁԲ-26/1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«ՄՍԾ ԷԱՃԱՊՁԲ-26/1»*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ՄԻԱՍՆԱԿԱՆ ՍՈՑԻԱԼԱԿԱՆ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ՄՍԾ ԷԱՃԱՊՁԲ-26/1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ՄՍԾ ԷԱՃԱՊՁԲ-26/1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Պայմանագրի կատարման փուլում ներկայացվում է ապրանքն արտադրողից կամ վերջինիս ներկայացուցչից երաշխիքային նամակ կամ համապատասխանության սերտիֆիկատ:</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A4 ֆորմատի՝ նախատեսված գրելու, տպագրելու և գրասենյակային աշխատանքների համար, թելիկներ չպարունակող առանց հավելյալ բաղադրիչների: Քաշը 80գր/մ2, տուփի մեջ 500 հատ, սպիտակությունը` ոչ պակաս 168%-ից (CIE համակարգով) ուլտրասպիտակ, համապատասխանում է IS09001-Quality Management System:
Պայծառությունը՝ 100%-ից ոչ պակաս, հաստությունը` 108մկմ, անթափանցելիությունը` 94%-ից ոչ պակաս, անհարթությունը ոչ ավել` 180մլ/ր`, խոնավությունը՝ 3,5-4,5%, օդի անցանելիություն՝ 1700 մլ/ր, գործարանային փաթեթավորմամբ: Մեկ տուփի քաշը՝ 2,5 կգ, տոքսիկայնություն՝ ոչ ավել քան 95,3%, ֆենոլի պարունակություն՝ ոչ ավել քան 0,001 մգ/մ3, ֆորմալդեգիդի պարունակություն՝ ոչ ավել քան 0,0014 մգ/մ3
Պայմանագրի կատարման փուլում ապրանքն արտադրողից կամ վերջինիս ներկայացուցչից երաշխիքային նամակի կամ համապատասխանության սերտիֆիկատի ներկայացմամբ:
*Ապրանքները պետք է լինեն նոր, չօգտագործված: *Ապրանքների մատակարարումը և բեռնաթափումը իրականացվելու է աշխատանքային օրերին ժամը 09.30-ից մինչև 17.00-ն մատակարների միջոցներով: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ապրիլի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հոկտեմբերի 1-ը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