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2025.11.28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ՊԵԿ-ԷԱՃԾՁԲ-26/4</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Комитет государственных доходов Республики Армения</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М. Хоренаци 3, 7</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ՊԵԿ-ԷԱՃԾՁԲ-26/4</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09:30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17</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09:30</w:t>
      </w:r>
      <w:r w:rsidRPr="00A064D2">
        <w:rPr>
          <w:rFonts w:ascii="Calibri" w:hAnsi="Calibri"/>
          <w:i w:val="0"/>
          <w:sz w:val="22"/>
          <w:szCs w:val="22"/>
        </w:rPr>
        <w:t xml:space="preserve"> часов на </w:t>
      </w:r>
      <w:r w:rsidRPr="00A064D2">
        <w:rPr>
          <w:rFonts w:ascii="Calibri" w:hAnsi="Calibri" w:cs="Calibri"/>
          <w:i w:val="0"/>
          <w:sz w:val="22"/>
          <w:szCs w:val="22"/>
          <w:lang w:val="af-ZA"/>
        </w:rPr>
        <w:t>17</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Գուրգեն Ղազարյան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gurgen_ghazaryan@taxservice.am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+37460844703, +37460844702, +37460844704, +37460844708,, +37460844709</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Комитет государственных доходов Республики Армения</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ՊԵԿ-ԷԱՃԾՁԲ-26/4</w:t>
      </w:r>
      <w:r w:rsidRPr="00A064D2">
        <w:rPr>
          <w:rFonts w:ascii="Calibri" w:hAnsi="Calibri" w:cs="Times Armenian"/>
          <w:i/>
          <w:lang w:val="ru-RU"/>
        </w:rPr>
        <w:br/>
      </w:r>
      <w:r w:rsidR="©0A7F" w:rsidRPr="00A064D2">
        <w:rPr>
          <w:rFonts w:ascii="Calibri" w:hAnsi="Calibri" w:cstheme="minorHAnsi"/>
          <w:szCs w:val="20"/>
          <w:lang w:val="af-ZA"/>
        </w:rPr>
        <w:t>2025.11.28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Комитет государственных доходов Республики Армения</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Комитет государственных доходов Республики Армения</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ՊԵԿ-ԷԱՃԾՁԲ-26/4</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ՊԵԿ-ԷԱՃԾՁԲ-26/4</w:t>
      </w:r>
      <w:r w:rsidR="00CC1843" w:rsidRPr="00A064D2">
        <w:rPr>
          <w:rFonts w:ascii="Calibri" w:hAnsi="Calibri"/>
          <w:b/>
          <w:lang w:val="ru-RU"/>
        </w:rPr>
        <w:t>ДЛЯ НУЖД</w:t>
      </w:r>
      <w:r w:rsidRPr="00F7430C">
        <w:rPr>
          <w:rFonts w:ascii="Calibri" w:hAnsi="Calibri" w:cs="Calibri"/>
          <w:b/>
          <w:u w:val="single"/>
          <w:lang w:val="af-ZA"/>
        </w:rPr>
        <w:t>Комитет государственных доходов Республики Армения</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ՊԵԿ-ԷԱՃԾՁԲ-26/4</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gurgen_ghazaryan@taxservice.am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ՊԵԿ-ԷԱՃԾՁԲ-26/4</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82043520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обслуживания информационной сети передачи данных КГД РА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ընդհանուր գումարի մինչև 10%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դեկտեմբեր ամսվա համար կանխավճարի հատկացում՝ պայմանագրի ընդհանուր գումարի մինչև 10% չափով՝ պայմանով, որ կատարողը 2026 թվականի 4-րդ եռամսյակում կներկայացնի կանխավճարի ապահովում։ 
                    </w:t>
              </w:r>
            </w:p>
          </w:tc>
        </w:tr>
      </w:tbl>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09:30</w:t>
      </w:r>
      <w:r w:rsidRPr="00DD1FC5">
        <w:rPr>
          <w:rFonts w:ascii="Calibri" w:hAnsi="Calibri"/>
          <w:lang w:val="ru-RU"/>
        </w:rPr>
        <w:t>" часов "</w:t>
      </w:r>
      <w:r w:rsidRPr="00B40D86">
        <w:rPr>
          <w:rFonts w:ascii="Calibri" w:hAnsi="Calibri"/>
          <w:lang w:val="hy-AM"/>
        </w:rPr>
        <w:t>17</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381.07</w:t>
      </w:r>
      <w:r w:rsidRPr="00DD1FC5">
        <w:rPr>
          <w:rFonts w:ascii="Calibri" w:hAnsi="Calibri"/>
          <w:szCs w:val="22"/>
        </w:rPr>
        <w:t xml:space="preserve"> драмом, российский рубль </w:t>
      </w:r>
      <w:r w:rsidRPr="009341B3">
        <w:rPr>
          <w:rFonts w:ascii="Calibri" w:hAnsi="Calibri"/>
          <w:lang w:val="hy-AM"/>
        </w:rPr>
        <w:t>4.855</w:t>
      </w:r>
      <w:r w:rsidRPr="00DD1FC5">
        <w:rPr>
          <w:rFonts w:ascii="Calibri" w:hAnsi="Calibri"/>
          <w:szCs w:val="22"/>
        </w:rPr>
        <w:t xml:space="preserve"> драмом, евро</w:t>
      </w:r>
      <w:r w:rsidRPr="00405759">
        <w:rPr>
          <w:rFonts w:ascii="Calibri" w:hAnsi="Calibri"/>
          <w:lang w:val="hy-AM"/>
        </w:rPr>
        <w:t>441.47</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2025.12.16. 09:30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ՊԵԿ-ԷԱՃԾՁԲ-26/4</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ՊԵԿ-ԷԱՃԾՁԲ-26/4</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ՊԵԿ-ԷԱՃԾՁԲ-26/4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государственных доходов Республики Армения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"ՊԵԿ-ԷԱՃԾՁԲ-26/4"*</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"ՊԵԿ-ԷԱՃԾՁԲ-26/4"</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ՊԵԿ-ԷԱՃԾՁԲ-26/4*.</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ՊԵԿ-ԷԱՃԾՁԲ-26/4</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"ՊԵԿ-ԷԱՃԾՁԲ-26/4"</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ՊԵԿ-ԷԱՃԾՁԲ-26/4*.</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Приложение 4.2</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ՊԵԿ-ԷԱՃԾՁԲ-26/4*</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государственных доходов Республики Армения (далее-бенефициар)  и ______________________________________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4" w:history="1">
        <w:r w:rsidRPr="00E41FA3">
          <w:rPr>
            <w:rStyle w:val="Hyperlink"/>
            <w:rFonts w:cstheme="minorHAnsi"/>
          </w:rPr>
          <w:t>www.procurement.am</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ՊԵԿ-ԷԱՃԾՁԲ-26/4</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число, месяц, год</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ՊԵԿ-ԷԱՃԾՁԲ-26/4</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4.1.1 От цены контракта до _______ (--------------------------) драм РА, заказчик перечисляет на банковский счет Исполнителя в качестве предоплаты.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погаения авансового платежа платежи исполнителю не производятся.</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обслуживания информационной сети передачи данных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Услуги передачи данных по проводной телекоммуникационной сети
(Услуги обслуживания информационной сети передачи данных КГД РА)
CPV - 72411100/510
Информационная сеть передачи данных КГД РА обеспечивает электронную связь между вышестоящим органом и его подразделениями.
Сеть должна обеспечивать круглосуточный обмен информацией, включяя нерабочие дни и часы. Сеть должна быть защищенной, закрытой  и не должна быть подключена к каким-либо другим компьютерным сетям.
Исполнитель должен обеспечить скорость, безопасность и конфиденциальность передачи данных по сети. 
Исполнитель также должен обеспечить круглосуточное обслуживание сети и техническую поддержку.
Исполнитель должен предоставить услуги по проектированию, строительству и техническому обслуживанию сети. При проектировании сети исполнитель должен использовать высокоскоростные, безопасные и современные технологии, а также согласовать используемые технологии с соответствующими сотрудникамии КГД РА. 
Исполинтель должен решить, какое внешнее оборудование и программное обеспечение будут необходимы для подключения или восстановления сети, а также согласовать описание проекта с соответствующими сотрудникамии КГД РА, при необходимости предоставляя обоснования и обеспечивая реализацию проекта.
Исполнитель обязуется не разглашать информацию, ставшую доступной ему при оказании услуг. По требованию Заказчика Исполнитель должен будет подписать NDA-Non-disclosure agreement: соглашение о неразглашении (прилагается).
Услуги передачи данных по проводной телекоммуникационной сети 
 (Услуги информационной сети передачи данных с помощью оптоволоконной связи)
Сервис должен быть предоставлен на уровне "OSI Layer 2", что позволит КГД РА создать современную частную виртуальную сеть электронного управления, которая будет полностью отделена от внешнего мира и защищена от внешних входов или вторжений, будучи вложенным исключительно во внутреннюю сетевую инфраструктуру КГД РА.
Техническия характеристика информационной сети передачи данных
Наименование	Описание
Отдельный канал
	Обеспичение 2 отдельных оптоволоконных каналов и сетевых рефералов от  2 независимых поставщиков услуг связи (далее: ПУС) из г. Ереван Ааронян 12/3 (основной узел), в г. Дилиджан Парз лич 5 (резервный узел)  как минимум на скорости, указанной в приложении 1.*
	Обеспичине 2 отдельных оптоволоконных каналов и сетевых рефералов от 2 независимых поставщиков услуг (ПУС) связи между основным узлом и пунктами Приложений 2,3 и 4.*
	Обеспичине 2 отдельных оптоволоконных каналов и сетевых рефералов между основным узлом и пунктами Приложений 3 и 4.
Правила и условия
	“Routing with multiple redundancy paths and resiliency” между базовыми, резервными узлами и пунктами Приложений 2,3,4.
	Поставщик услуг связи должен обеспечить двунаправленную (симметричную) передачу данных в любой точке и как минимум на скоростях, указанных в Приложениях 2,3 и 4.
Предоставить отдельныe VLAN-ы для телефонной связи и системы видеонаблюдения по адресам, указанным в Приложениях 1,2,3 и 4.
Требование, указанное в Приложении 2 для центра мониторинга (г. Ереван, ул. Цовакала Исакова 10), должно быть обеспечено на стороне ЦОД отдельным портом, по мере необходимости.
•	Предоставление, установка, наладка и обслуживание необходимого оборудования.
•	Обеспечить возможность использования любого VLAN Id в любой точке.
•	Группировка различных точек по услугам подсетей “Leyer2”.
•	Обеспечить координацию между вышеуказанными группами “Leyer2”.
•	Обеспечить прозрачность любых протоколов “Leyer2” в любой точке.
Услуга доступа широкополосного интернета	Обеспечение основного интернет-соединения со скоростью не менее 300 Мб/с, и как минимум 500 Мбит/с в доменах .am, 
в ЦОД (центры обработки данных) КГД РА - г. Ереван, Аароняна 12/3 и г. Дилиджан Парз лич 5.
Резервный ПУС должен обеспечить минимальную скорость 300 Мб/с, а также минимальную скорость 500 Мб/с в доменах .am, в ЦОД (центры обработки данных) КГД РА - г. Ереван, Аароняна 12/3 и г. Дилиджан Парз лич 5.
ПУС должен обеспечить двоичный диапазон адресов  x.x.x.x/26 ի x.x.x.x/28 (real ip).
ПУС должен обеспечить расходы диапазонa адресов КГД РА 185․44․228․0/24 и 185․44․229․0/24 (real ip), расходы на услуг обслуживания касательно 56974 ASN в RIPE, а также ежегодные расходы RIPE.
ПУС и резевный ПУС должны обепечить услугу BGP и доступ в двух ЦОД (центры обработки данных) КГД РА - г. Ереван, Аароняна 12/3 и г. Дилиджан Парз лич 5.
Требуемое качество	•	В течение года количество сбоев связи в любой точке в Приложениаях 1,2,3 не должно превышать 4.  В данном случае сбоем считается отсуствие связи (с продолжительностью более 60 минут при каждом сбое).
•	В течение года количество сбоев связи в любой точке в Приложении 4 не должно превышать 6. 
В данном случаи сбоем считается отсуствие связи (с продолжительностью более 120 минут при каждом сбое).
	•	В течение месяца количество сбоев (или отсутствия) связи в любой точке Приложений 1,2,3 не должно превышать 120 минут, а в любой точке Приложения 4 – 240 минут. В данном случае время сбоев (или отсутствия) связи считается месечная сумма всех сбоев (или отсутствия) связи в данном адресе.
* Каждый поставщик услуг связи должен предоставлять информационную сеть между этими узлами не используя информационную сеть (канал, узел  и т. д.) другого ПУС.
Приложение 1
N	Адрес	Скорость	Цена за 1 день 
(Включая НДС)
1.		г. Ереван, ул. Агароняна 12/3	5Gb/s	
2.		Тавушскaя область, г. Дилиджан, ул. Парз Лич 5	5Gb/s	
Приложение 2
N	Адрес	Скорость	Цена за 1 день 
(Включая НДС)
1.		Ширакская область, село Бавра	500Mb/s	
2.		Тавушская область, село Баграташен	500Mb/s	
3.		Лорийская облать, село Гогаван	500Mb/s	
4.		Сюникская область,Карчеванское шоссе 4	500Mb/s	
5.		Тавушскaя область, село Айрум,ул Еркатугаина 20, 	500Mb/s	
6.		Г.Ереван, ул. М.Хоренаци 3, 7 и 7а	1Gb/s	
7.		г.Ереван, ул. Адмирала Исакова 10 и 10/6	1Gb/s	
8.		г.Ереван, ул. Адмирала Исакова 10 (Центр мониторингa)	1Gb/s	
9.		Аэропорт г. Еревана Звартноц 42   	300Mb/s	
10.		Ширакская область, Тбилисянское шоссе, 2/14 муниципалитета Гюмри	300Mb/s	
Приложение 3
N	Адрес	Скорость	Цена за 1 день 
(Включая НДС)
1.		г.Ереван, ул. Комитаса 35 	300Mb/s	
2.		г.Ереван, ул. Дегатуна 3 	200Mb/s	
3.		г.Ереван, ул Андраника 37/1 	1Gb/s	
4.		г.Ереван, ул. Северная 6  	100Mb/s	
5.		г.Ереван, ул. Тиграна Меца 1-ий переулок	100Mb/s	
6.		г.Ереван, ул. Сасунци Давида 87 и 87а	100Mb/s	
7.		г.Ереван, ул. Строителей 3/1	100Mb/s	
8.		г.Ереван, у.л Молдованская 41/3	100Mb/s	
9.		г.Ереван, ул. Манташяна. 55	100Mb/s	
10.		г.Гюмри, ул.  Овсепяна - 1	100Mb/s	
11.		г.Ереван, проспект Аршакуняца 135, аэропорт Эребуни	300Mb/s	
Приложение 4
No	Адрес	Скорость	Цена за 1 день 
(Включая НДС)
1.		Ширакская область, аэропорт «Ширак» 	200Mb/s	
2.		г.Ванадзор, Московская 44	100Mb/s	
3.		Сюникская область, село Шаке	100Mb/s	
4.		г.Аштарак, ул. Прошяна 29	100Mb/s	
5.		г.Арташат, ул. Августа 23, 83	100Mb/s	
6.		г.Гавар, ул. Города героя Новорисийская 4	100Mb/s	
7.		Г.Горис, ул. Татеванцу 9	100Mb/s	
8.		г.Егегнадзор, ул. Нарекаци 8/3	100Mb/s	
9.		г.Эчмиадзин, ул. Нардоса 11	100Mb/s	
10.		г.Иджеван, ул. Свободы 12	100Mb/s	
11.		г.Капан, ул. Минасяна 20 А	100Mb/s	
12.		г.Абовяна, площадь Барекамутюна 1	100Mb/s	
13.		г.Раздан , ул. Спандаряна 24/1-24/2	100Mb/s	
14.		г.Севан, ул. Саят Нова-1/1	100Mb/s	
15.		г.Ванадзор, ул. Вардананц 11	100Mb/s	
16.		г.Ереван, ул. Севана 104/2	60Mb/s	
17.		Г.Ереван, ул. Араратяна 90	100Mb/s	
18.		село Маргара, автомагистраль Армавир-Маргара, дом 12	100Mb/s	
Срок предостовления услуг
Услуги предоставлются при наличии соответствующих финансовых средств и на основе соответствующего соглашения, заключенного 
между сторонами, в течение максимум 365 календарных дней, считая со следующего дня вступления соглашения в силу. 
Предусматривается предоплата за декабрь - до 10% от общей суммы контракта.
•	Участник должен представить месячный прайс-лист для адресов, указанных в Приложениях 1, 2, 3 и 4.
•	Процесс закупок организован в соответствии со статьей 15 пункта 6 Закона РА о закупках.
•	Оплата производится за фактически оказанные услуги.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указанным адресам технической характеристике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при наличии соответствующих финансовых средств и на основе соответствующего соглашения, заключенного  между сторонами, в течение максимум 365 календарных дней, считая со следующего дня вступления соглашения в силу.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