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A0B7B3" w14:textId="512952D6" w:rsidR="0044438C" w:rsidRPr="009A4639" w:rsidRDefault="00980433" w:rsidP="00980433">
      <w:pPr>
        <w:spacing w:after="0"/>
        <w:jc w:val="center"/>
        <w:rPr>
          <w:rFonts w:ascii="GHEA Grapalat" w:hAnsi="GHEA Grapalat"/>
          <w:lang w:val="hy-AM"/>
        </w:rPr>
      </w:pPr>
      <w:r w:rsidRPr="009A4639">
        <w:rPr>
          <w:rFonts w:ascii="GHEA Grapalat" w:hAnsi="GHEA Grapalat"/>
          <w:lang w:val="hy-AM"/>
        </w:rPr>
        <w:t xml:space="preserve">                                                         </w:t>
      </w:r>
      <w:r w:rsidR="0044438C" w:rsidRPr="009A4639">
        <w:rPr>
          <w:rFonts w:ascii="GHEA Grapalat" w:hAnsi="GHEA Grapalat"/>
          <w:lang w:val="hy-AM"/>
        </w:rPr>
        <w:t>ՏԵԽՆԻԿԱԿԱՆ ԲՆՈՒԹԱԳԻՐ - ԳՆՄԱՆ ԺԱՄԱՆԱԿԱՑՈՒՅՑ*</w:t>
      </w:r>
      <w:r w:rsidR="0044438C" w:rsidRPr="009A4639">
        <w:rPr>
          <w:rFonts w:ascii="GHEA Grapalat" w:hAnsi="GHEA Grapalat"/>
          <w:lang w:val="hy-AM"/>
        </w:rPr>
        <w:tab/>
      </w:r>
      <w:r w:rsidR="0044438C" w:rsidRPr="009A4639">
        <w:rPr>
          <w:rFonts w:ascii="GHEA Grapalat" w:hAnsi="GHEA Grapalat"/>
          <w:lang w:val="hy-AM"/>
        </w:rPr>
        <w:tab/>
      </w:r>
      <w:r w:rsidR="0044438C" w:rsidRPr="009A4639">
        <w:rPr>
          <w:rFonts w:ascii="GHEA Grapalat" w:hAnsi="GHEA Grapalat"/>
          <w:lang w:val="hy-AM"/>
        </w:rPr>
        <w:tab/>
      </w:r>
      <w:r w:rsidR="0044438C" w:rsidRPr="009A4639">
        <w:rPr>
          <w:rFonts w:ascii="GHEA Grapalat" w:hAnsi="GHEA Grapalat"/>
          <w:lang w:val="hy-AM"/>
        </w:rPr>
        <w:tab/>
      </w:r>
      <w:r w:rsidR="0044438C" w:rsidRPr="009A4639">
        <w:rPr>
          <w:rFonts w:ascii="GHEA Grapalat" w:hAnsi="GHEA Grapalat"/>
          <w:lang w:val="hy-AM"/>
        </w:rPr>
        <w:tab/>
      </w:r>
      <w:r w:rsidR="0044438C" w:rsidRPr="009A4639">
        <w:rPr>
          <w:rFonts w:ascii="GHEA Grapalat" w:hAnsi="GHEA Grapalat"/>
          <w:lang w:val="hy-AM"/>
        </w:rPr>
        <w:tab/>
      </w:r>
      <w:r w:rsidR="0044438C" w:rsidRPr="009A4639">
        <w:rPr>
          <w:rFonts w:ascii="GHEA Grapalat" w:hAnsi="GHEA Grapalat"/>
          <w:lang w:val="hy-AM"/>
        </w:rPr>
        <w:tab/>
      </w:r>
      <w:r w:rsidR="0044438C" w:rsidRPr="009A4639">
        <w:rPr>
          <w:rFonts w:ascii="GHEA Grapalat" w:hAnsi="GHEA Grapalat"/>
          <w:lang w:val="hy-AM"/>
        </w:rPr>
        <w:tab/>
      </w:r>
      <w:r w:rsidR="0044438C" w:rsidRPr="009A4639">
        <w:rPr>
          <w:rFonts w:ascii="GHEA Grapalat" w:hAnsi="GHEA Grapalat"/>
          <w:lang w:val="hy-AM"/>
        </w:rPr>
        <w:tab/>
      </w:r>
      <w:r w:rsidR="0044438C" w:rsidRPr="009A4639">
        <w:rPr>
          <w:rFonts w:ascii="GHEA Grapalat" w:hAnsi="GHEA Grapalat"/>
          <w:lang w:val="hy-AM"/>
        </w:rPr>
        <w:tab/>
      </w:r>
      <w:r w:rsidR="0044438C" w:rsidRPr="009A4639">
        <w:rPr>
          <w:rFonts w:ascii="GHEA Grapalat" w:hAnsi="GHEA Grapalat"/>
          <w:lang w:val="hy-AM"/>
        </w:rPr>
        <w:tab/>
      </w:r>
    </w:p>
    <w:tbl>
      <w:tblPr>
        <w:tblW w:w="12474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559"/>
        <w:gridCol w:w="6111"/>
        <w:gridCol w:w="630"/>
        <w:gridCol w:w="1253"/>
        <w:gridCol w:w="2212"/>
      </w:tblGrid>
      <w:tr w:rsidR="0044438C" w:rsidRPr="009A4639" w14:paraId="00A0B35B" w14:textId="77777777" w:rsidTr="004410B7">
        <w:tc>
          <w:tcPr>
            <w:tcW w:w="12474" w:type="dxa"/>
            <w:gridSpan w:val="6"/>
            <w:vAlign w:val="center"/>
          </w:tcPr>
          <w:p w14:paraId="29B42FF6" w14:textId="77777777" w:rsidR="0044438C" w:rsidRPr="009A4639" w:rsidRDefault="0044438C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A4639">
              <w:rPr>
                <w:rFonts w:ascii="GHEA Grapalat" w:hAnsi="GHEA Grapalat"/>
                <w:sz w:val="20"/>
                <w:szCs w:val="20"/>
                <w:lang w:val="hy-AM"/>
              </w:rPr>
              <w:t>Ապրանքի</w:t>
            </w:r>
          </w:p>
        </w:tc>
      </w:tr>
      <w:tr w:rsidR="004410B7" w:rsidRPr="009A4639" w14:paraId="4B16A592" w14:textId="77777777" w:rsidTr="004410B7">
        <w:trPr>
          <w:trHeight w:val="219"/>
        </w:trPr>
        <w:tc>
          <w:tcPr>
            <w:tcW w:w="709" w:type="dxa"/>
            <w:vMerge w:val="restart"/>
            <w:vAlign w:val="center"/>
          </w:tcPr>
          <w:p w14:paraId="300D6C5F" w14:textId="10C107C4" w:rsidR="004410B7" w:rsidRPr="009A4639" w:rsidRDefault="004410B7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A4639">
              <w:rPr>
                <w:rFonts w:ascii="GHEA Grapalat" w:hAnsi="GHEA Grapalat"/>
                <w:sz w:val="20"/>
                <w:szCs w:val="20"/>
                <w:lang w:val="hy-AM"/>
              </w:rPr>
              <w:t>Չ/Հ</w:t>
            </w:r>
          </w:p>
        </w:tc>
        <w:tc>
          <w:tcPr>
            <w:tcW w:w="1559" w:type="dxa"/>
            <w:vMerge w:val="restart"/>
            <w:vAlign w:val="center"/>
          </w:tcPr>
          <w:p w14:paraId="491EDBD3" w14:textId="73E46A91" w:rsidR="004410B7" w:rsidRPr="009A4639" w:rsidRDefault="004410B7" w:rsidP="004413C1">
            <w:pPr>
              <w:spacing w:after="0" w:line="240" w:lineRule="auto"/>
              <w:ind w:left="-104" w:right="-10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A4639">
              <w:rPr>
                <w:rFonts w:ascii="GHEA Grapalat" w:hAnsi="GHEA Grapalat"/>
                <w:sz w:val="20"/>
                <w:szCs w:val="20"/>
                <w:lang w:val="hy-AM"/>
              </w:rPr>
              <w:t>Անվանումը և  գնումների պլանով նախատեսված միջանցիկ ծածկագիրը` ըստ ԳՄԱ դասակարգման (CPV)</w:t>
            </w:r>
          </w:p>
        </w:tc>
        <w:tc>
          <w:tcPr>
            <w:tcW w:w="6111" w:type="dxa"/>
            <w:vMerge w:val="restart"/>
            <w:vAlign w:val="center"/>
          </w:tcPr>
          <w:p w14:paraId="4EFA3281" w14:textId="490C557A" w:rsidR="004410B7" w:rsidRPr="009A4639" w:rsidRDefault="004410B7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A4639">
              <w:rPr>
                <w:rFonts w:ascii="GHEA Grapalat" w:hAnsi="GHEA Grapalat"/>
                <w:sz w:val="20"/>
                <w:szCs w:val="20"/>
                <w:lang w:val="hy-AM"/>
              </w:rPr>
              <w:t>Տեխնիկական բնութագիրը</w:t>
            </w:r>
          </w:p>
        </w:tc>
        <w:tc>
          <w:tcPr>
            <w:tcW w:w="630" w:type="dxa"/>
            <w:vMerge w:val="restart"/>
            <w:vAlign w:val="center"/>
          </w:tcPr>
          <w:p w14:paraId="6F704B5D" w14:textId="77777777" w:rsidR="004410B7" w:rsidRPr="009A4639" w:rsidRDefault="004410B7" w:rsidP="004413C1">
            <w:pPr>
              <w:spacing w:after="0" w:line="240" w:lineRule="auto"/>
              <w:ind w:left="-104" w:right="-10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A4639">
              <w:rPr>
                <w:rFonts w:ascii="GHEA Grapalat" w:hAnsi="GHEA Grapalat"/>
                <w:sz w:val="20"/>
                <w:szCs w:val="20"/>
                <w:lang w:val="hy-AM"/>
              </w:rPr>
              <w:t>Չափ</w:t>
            </w:r>
          </w:p>
          <w:p w14:paraId="42081A15" w14:textId="77777777" w:rsidR="004410B7" w:rsidRPr="009A4639" w:rsidRDefault="004410B7" w:rsidP="004413C1">
            <w:pPr>
              <w:spacing w:after="0" w:line="240" w:lineRule="auto"/>
              <w:ind w:left="-104" w:right="-10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A4639">
              <w:rPr>
                <w:rFonts w:ascii="GHEA Grapalat" w:hAnsi="GHEA Grapalat"/>
                <w:sz w:val="20"/>
                <w:szCs w:val="20"/>
                <w:lang w:val="hy-AM"/>
              </w:rPr>
              <w:t>ման միա</w:t>
            </w:r>
          </w:p>
          <w:p w14:paraId="4BDD75AA" w14:textId="77777777" w:rsidR="004410B7" w:rsidRPr="009A4639" w:rsidRDefault="004410B7" w:rsidP="004413C1">
            <w:pPr>
              <w:spacing w:after="0" w:line="240" w:lineRule="auto"/>
              <w:ind w:left="-104" w:right="-10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A4639">
              <w:rPr>
                <w:rFonts w:ascii="GHEA Grapalat" w:hAnsi="GHEA Grapalat"/>
                <w:sz w:val="20"/>
                <w:szCs w:val="20"/>
                <w:lang w:val="hy-AM"/>
              </w:rPr>
              <w:t>վորը</w:t>
            </w:r>
          </w:p>
        </w:tc>
        <w:tc>
          <w:tcPr>
            <w:tcW w:w="1253" w:type="dxa"/>
            <w:vMerge w:val="restart"/>
            <w:vAlign w:val="center"/>
          </w:tcPr>
          <w:p w14:paraId="0086A59E" w14:textId="2CFF5CA7" w:rsidR="004410B7" w:rsidRPr="009A4639" w:rsidRDefault="004410B7" w:rsidP="00643DAE">
            <w:pPr>
              <w:spacing w:after="0" w:line="240" w:lineRule="auto"/>
              <w:ind w:left="-104" w:right="-10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A4639">
              <w:rPr>
                <w:rFonts w:ascii="GHEA Grapalat" w:hAnsi="GHEA Grapalat"/>
                <w:sz w:val="20"/>
                <w:szCs w:val="20"/>
                <w:lang w:val="hy-AM"/>
              </w:rPr>
              <w:t>Ընդհանուր քանակը</w:t>
            </w:r>
          </w:p>
        </w:tc>
        <w:tc>
          <w:tcPr>
            <w:tcW w:w="2212" w:type="dxa"/>
            <w:vAlign w:val="center"/>
          </w:tcPr>
          <w:p w14:paraId="488C57F1" w14:textId="0CD47748" w:rsidR="004410B7" w:rsidRPr="009A4639" w:rsidRDefault="004410B7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A4639">
              <w:rPr>
                <w:rFonts w:ascii="GHEA Grapalat" w:hAnsi="GHEA Grapalat"/>
                <w:sz w:val="20"/>
                <w:szCs w:val="20"/>
                <w:lang w:val="hy-AM"/>
              </w:rPr>
              <w:t>Մատակարարման</w:t>
            </w:r>
          </w:p>
        </w:tc>
      </w:tr>
      <w:tr w:rsidR="004410B7" w:rsidRPr="009A4639" w14:paraId="0892826D" w14:textId="77777777" w:rsidTr="004410B7">
        <w:trPr>
          <w:trHeight w:val="445"/>
        </w:trPr>
        <w:tc>
          <w:tcPr>
            <w:tcW w:w="709" w:type="dxa"/>
            <w:vMerge/>
            <w:vAlign w:val="center"/>
          </w:tcPr>
          <w:p w14:paraId="3EDAC25B" w14:textId="77777777" w:rsidR="004410B7" w:rsidRPr="009A4639" w:rsidRDefault="004410B7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559" w:type="dxa"/>
            <w:vMerge/>
            <w:vAlign w:val="center"/>
          </w:tcPr>
          <w:p w14:paraId="7CCDB4BB" w14:textId="77777777" w:rsidR="004410B7" w:rsidRPr="009A4639" w:rsidRDefault="004410B7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6111" w:type="dxa"/>
            <w:vMerge/>
            <w:vAlign w:val="center"/>
          </w:tcPr>
          <w:p w14:paraId="351E8B17" w14:textId="77777777" w:rsidR="004410B7" w:rsidRPr="009A4639" w:rsidRDefault="004410B7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630" w:type="dxa"/>
            <w:vMerge/>
            <w:vAlign w:val="center"/>
          </w:tcPr>
          <w:p w14:paraId="6FCAB84F" w14:textId="77777777" w:rsidR="004410B7" w:rsidRPr="009A4639" w:rsidRDefault="004410B7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53" w:type="dxa"/>
            <w:vMerge/>
            <w:vAlign w:val="center"/>
          </w:tcPr>
          <w:p w14:paraId="06FF103A" w14:textId="77777777" w:rsidR="004410B7" w:rsidRPr="009A4639" w:rsidRDefault="004410B7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212" w:type="dxa"/>
            <w:vAlign w:val="center"/>
          </w:tcPr>
          <w:p w14:paraId="593D8E46" w14:textId="6C3799D7" w:rsidR="004410B7" w:rsidRPr="009A4639" w:rsidRDefault="004410B7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A4639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հասցեն և </w:t>
            </w:r>
          </w:p>
          <w:p w14:paraId="62A5AAB3" w14:textId="012371D3" w:rsidR="004410B7" w:rsidRPr="009A4639" w:rsidRDefault="004410B7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A4639">
              <w:rPr>
                <w:rFonts w:ascii="GHEA Grapalat" w:hAnsi="GHEA Grapalat"/>
                <w:sz w:val="20"/>
                <w:szCs w:val="20"/>
                <w:lang w:val="hy-AM"/>
              </w:rPr>
              <w:t>ժամկետը</w:t>
            </w:r>
          </w:p>
        </w:tc>
      </w:tr>
      <w:tr w:rsidR="004410B7" w:rsidRPr="009A4639" w14:paraId="46F2220A" w14:textId="77777777" w:rsidTr="004410B7">
        <w:trPr>
          <w:trHeight w:val="1697"/>
        </w:trPr>
        <w:tc>
          <w:tcPr>
            <w:tcW w:w="709" w:type="dxa"/>
            <w:vAlign w:val="center"/>
          </w:tcPr>
          <w:p w14:paraId="09405DB7" w14:textId="5EF05ED7" w:rsidR="004410B7" w:rsidRPr="009A4639" w:rsidRDefault="004410B7" w:rsidP="00643DAE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A4639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1559" w:type="dxa"/>
            <w:vAlign w:val="center"/>
          </w:tcPr>
          <w:p w14:paraId="661A32E6" w14:textId="77777777" w:rsidR="004410B7" w:rsidRPr="009A4639" w:rsidRDefault="004410B7" w:rsidP="00643DAE">
            <w:pPr>
              <w:spacing w:after="0" w:line="240" w:lineRule="auto"/>
              <w:ind w:left="-10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A4639">
              <w:rPr>
                <w:rFonts w:ascii="GHEA Grapalat" w:hAnsi="GHEA Grapalat"/>
                <w:sz w:val="20"/>
                <w:szCs w:val="20"/>
                <w:lang w:val="hy-AM"/>
              </w:rPr>
              <w:t>Անասնաբուժության մեջ կիրառվող</w:t>
            </w:r>
            <w:r w:rsidRPr="009A4639">
              <w:rPr>
                <w:b/>
                <w:sz w:val="24"/>
                <w:szCs w:val="24"/>
                <w:lang w:val="hy-AM"/>
              </w:rPr>
              <w:t xml:space="preserve"> </w:t>
            </w:r>
            <w:r w:rsidRPr="009A4639">
              <w:rPr>
                <w:rFonts w:ascii="GHEA Grapalat" w:hAnsi="GHEA Grapalat"/>
                <w:sz w:val="20"/>
                <w:szCs w:val="20"/>
                <w:lang w:val="hy-AM"/>
              </w:rPr>
              <w:t>խոշոր եղջերավոր կենդանիների և ոչխարների խշխշան պալարի նկատմամբ հիդրօքսիդ</w:t>
            </w:r>
          </w:p>
          <w:p w14:paraId="67743586" w14:textId="77777777" w:rsidR="004410B7" w:rsidRPr="009A4639" w:rsidRDefault="004410B7" w:rsidP="00643DAE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A4639">
              <w:rPr>
                <w:rFonts w:ascii="GHEA Grapalat" w:hAnsi="GHEA Grapalat"/>
                <w:sz w:val="20"/>
                <w:szCs w:val="20"/>
                <w:lang w:val="hy-AM"/>
              </w:rPr>
              <w:t xml:space="preserve">ալյումինային, </w:t>
            </w:r>
          </w:p>
          <w:p w14:paraId="38E7D097" w14:textId="77777777" w:rsidR="004410B7" w:rsidRDefault="004410B7" w:rsidP="00643DAE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A4639">
              <w:rPr>
                <w:rFonts w:ascii="GHEA Grapalat" w:hAnsi="GHEA Grapalat"/>
                <w:sz w:val="20"/>
                <w:szCs w:val="20"/>
                <w:lang w:val="hy-AM"/>
              </w:rPr>
              <w:t>ֆորմալինային պատվաստանյութ</w:t>
            </w:r>
          </w:p>
          <w:p w14:paraId="0557DFAB" w14:textId="6E47E37C" w:rsidR="004410B7" w:rsidRPr="009A4639" w:rsidRDefault="004410B7" w:rsidP="001C7C8C">
            <w:pPr>
              <w:spacing w:after="0" w:line="240" w:lineRule="auto"/>
              <w:ind w:left="-104" w:right="-10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244EE">
              <w:rPr>
                <w:rFonts w:ascii="GHEA Grapalat" w:hAnsi="GHEA Grapalat"/>
                <w:sz w:val="20"/>
                <w:szCs w:val="20"/>
              </w:rPr>
              <w:t>33651257/514</w:t>
            </w:r>
          </w:p>
        </w:tc>
        <w:tc>
          <w:tcPr>
            <w:tcW w:w="6111" w:type="dxa"/>
            <w:vAlign w:val="center"/>
          </w:tcPr>
          <w:p w14:paraId="42B46688" w14:textId="38ED9DC9" w:rsidR="004410B7" w:rsidRPr="009A4639" w:rsidRDefault="004410B7" w:rsidP="009F52F5">
            <w:pPr>
              <w:spacing w:after="0" w:line="240" w:lineRule="auto"/>
              <w:ind w:left="-104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A4639">
              <w:rPr>
                <w:rFonts w:ascii="GHEA Grapalat" w:hAnsi="GHEA Grapalat"/>
                <w:sz w:val="20"/>
                <w:szCs w:val="20"/>
                <w:lang w:val="hy-AM"/>
              </w:rPr>
              <w:t xml:space="preserve"> Սրվակները պետք է լինեն ամուր փակված մետաղյա խցանով: Արտաքնապես պատվաստանյութը դեղնավուն կամ բաց-շագանակագույն մանրէային մարմինների նստվածք է, որը թափահարելուց հետո հեշտությամբ լուծվում է: Յուրաքանչյուր սրվակի վրա պետք է նշված լինի պատվաստանյութի, արտադրող երկրի, կազմակերպության անվանումները, սերիայի համարը, պատրաստման և պիտանելիության ժամկետները և չափաբաժինները: Օգտագործման համար մնացորդային ժամկետը պետք է լինի 16 ամսից ոչ պակաս: Պատվաստանյութով սրվակը պետք է լինի 100 մլ (50 չափաբաժին) տարողությամբ: Պատվաստանյութի պահպանման և տեղափոխման ջերմաստիճանը պետք է լինի +2</w:t>
            </w:r>
            <w:r w:rsidRPr="009A4639">
              <w:rPr>
                <w:rFonts w:ascii="GHEA Grapalat" w:hAnsi="GHEA Grapalat" w:cstheme="minorHAnsi"/>
                <w:sz w:val="20"/>
                <w:szCs w:val="20"/>
                <w:lang w:val="hy-AM"/>
              </w:rPr>
              <w:t>˚</w:t>
            </w:r>
            <w:r w:rsidRPr="009A4639">
              <w:rPr>
                <w:rFonts w:ascii="GHEA Grapalat" w:hAnsi="GHEA Grapalat"/>
                <w:sz w:val="20"/>
                <w:szCs w:val="20"/>
                <w:lang w:val="hy-AM"/>
              </w:rPr>
              <w:t xml:space="preserve"> մինչև +15</w:t>
            </w:r>
            <w:r w:rsidRPr="009A4639">
              <w:rPr>
                <w:rFonts w:ascii="GHEA Grapalat" w:hAnsi="GHEA Grapalat" w:cstheme="minorHAnsi"/>
                <w:sz w:val="20"/>
                <w:szCs w:val="20"/>
                <w:lang w:val="hy-AM"/>
              </w:rPr>
              <w:t>˚</w:t>
            </w:r>
            <w:r w:rsidRPr="009A4639">
              <w:rPr>
                <w:rFonts w:ascii="GHEA Grapalat" w:hAnsi="GHEA Grapalat"/>
                <w:sz w:val="20"/>
                <w:szCs w:val="20"/>
                <w:vertAlign w:val="superscript"/>
                <w:lang w:val="hy-AM"/>
              </w:rPr>
              <w:t xml:space="preserve"> </w:t>
            </w:r>
            <w:r w:rsidRPr="009A4639">
              <w:rPr>
                <w:rFonts w:ascii="GHEA Grapalat" w:hAnsi="GHEA Grapalat"/>
                <w:sz w:val="20"/>
                <w:szCs w:val="20"/>
                <w:lang w:val="hy-AM"/>
              </w:rPr>
              <w:t xml:space="preserve">C: Ջերմային ցուցիչների առկայությունը պարտադիր է: Պիտակի  վրա պետք է նշված լինի </w:t>
            </w:r>
            <w:r w:rsidRPr="009A4639">
              <w:rPr>
                <w:rFonts w:ascii="GHEA Grapalat" w:hAnsi="GHEA Grapalat"/>
                <w:b/>
                <w:sz w:val="20"/>
                <w:szCs w:val="20"/>
                <w:lang w:val="hy-AM"/>
              </w:rPr>
              <w:t>«Պետական պատվեր, վաճառքի ենթակա չէ»</w:t>
            </w:r>
            <w:r w:rsidRPr="009A4639">
              <w:rPr>
                <w:rFonts w:ascii="GHEA Grapalat" w:hAnsi="GHEA Grapalat"/>
                <w:sz w:val="20"/>
                <w:szCs w:val="20"/>
                <w:lang w:val="hy-AM"/>
              </w:rPr>
              <w:t xml:space="preserve"> բառերը: Պատվաստանյութը պետք է արտադրված լինի Պատշաճ արտադրական պրակտիկայի /</w:t>
            </w:r>
            <w:r w:rsidRPr="009A4639">
              <w:rPr>
                <w:rFonts w:ascii="GHEA Grapalat" w:hAnsi="GHEA Grapalat" w:cs="Calibri"/>
                <w:color w:val="1D2228"/>
                <w:sz w:val="20"/>
                <w:szCs w:val="20"/>
                <w:lang w:val="hy-AM"/>
              </w:rPr>
              <w:t xml:space="preserve">Good Manufacturing Practice (GMP)/ ստանդարտին համապատախան: </w:t>
            </w:r>
            <w:r w:rsidRPr="009A4639">
              <w:rPr>
                <w:rFonts w:ascii="GHEA Grapalat" w:hAnsi="GHEA Grapalat"/>
                <w:sz w:val="20"/>
                <w:szCs w:val="20"/>
                <w:lang w:val="hy-AM"/>
              </w:rPr>
              <w:t>Պատվաստանյութը պետք է գրանցված լինի Հայաստանի Հանրապետությունում կամ Եվրասիական տնտեսական միության անդամ-երկրներում։</w:t>
            </w:r>
          </w:p>
          <w:p w14:paraId="172C60B7" w14:textId="7FA9F2E7" w:rsidR="004410B7" w:rsidRPr="009A4639" w:rsidRDefault="004410B7" w:rsidP="009F52F5">
            <w:pPr>
              <w:spacing w:after="0" w:line="240" w:lineRule="auto"/>
              <w:ind w:left="-104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A4639">
              <w:rPr>
                <w:rFonts w:ascii="GHEA Grapalat" w:hAnsi="GHEA Grapalat"/>
                <w:sz w:val="20"/>
                <w:szCs w:val="20"/>
                <w:lang w:val="hy-AM"/>
              </w:rPr>
              <w:t>Պատվաստանյութը պետք է համապատասխանի եվրասիական տնտեսական միության մաքսային տարածքում անասնաբուժության մեջ օգտագործվող դեղամիջոցների ներմուծմանն ու փոխադրմանը ներկայացվող պահանջներին:</w:t>
            </w:r>
          </w:p>
        </w:tc>
        <w:tc>
          <w:tcPr>
            <w:tcW w:w="630" w:type="dxa"/>
            <w:vAlign w:val="center"/>
          </w:tcPr>
          <w:p w14:paraId="1C870BCC" w14:textId="199FA40D" w:rsidR="004410B7" w:rsidRPr="009A4639" w:rsidRDefault="004410B7" w:rsidP="00643DAE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A4639">
              <w:rPr>
                <w:rFonts w:ascii="GHEA Grapalat" w:hAnsi="GHEA Grapalat"/>
                <w:sz w:val="20"/>
                <w:szCs w:val="20"/>
                <w:lang w:val="hy-AM"/>
              </w:rPr>
              <w:t>մլ</w:t>
            </w:r>
          </w:p>
        </w:tc>
        <w:tc>
          <w:tcPr>
            <w:tcW w:w="1253" w:type="dxa"/>
            <w:vAlign w:val="center"/>
          </w:tcPr>
          <w:p w14:paraId="58D0236C" w14:textId="1AE196F4" w:rsidR="004410B7" w:rsidRPr="009A4639" w:rsidRDefault="004410B7" w:rsidP="000555AD">
            <w:pPr>
              <w:spacing w:after="0" w:line="240" w:lineRule="auto"/>
              <w:ind w:left="-104" w:right="-10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905,100</w:t>
            </w:r>
          </w:p>
        </w:tc>
        <w:tc>
          <w:tcPr>
            <w:tcW w:w="2212" w:type="dxa"/>
            <w:vAlign w:val="center"/>
          </w:tcPr>
          <w:p w14:paraId="6E47BEC5" w14:textId="2CD6084A" w:rsidR="004410B7" w:rsidRPr="009A4639" w:rsidRDefault="004410B7" w:rsidP="00643DAE">
            <w:pPr>
              <w:spacing w:after="0" w:line="240" w:lineRule="auto"/>
              <w:ind w:left="-14"/>
              <w:jc w:val="center"/>
              <w:rPr>
                <w:rFonts w:ascii="GHEA Grapalat" w:hAnsi="GHEA Grapalat" w:cs="Calibri"/>
                <w:bCs/>
                <w:sz w:val="20"/>
                <w:szCs w:val="20"/>
                <w:shd w:val="clear" w:color="auto" w:fill="FFFFFF"/>
                <w:lang w:val="hy-AM"/>
              </w:rPr>
            </w:pPr>
            <w:r w:rsidRPr="009A4639">
              <w:rPr>
                <w:rFonts w:ascii="GHEA Grapalat" w:hAnsi="GHEA Grapalat" w:cs="Calibri"/>
                <w:bCs/>
                <w:sz w:val="20"/>
                <w:szCs w:val="20"/>
                <w:shd w:val="clear" w:color="auto" w:fill="FFFFFF"/>
                <w:lang w:val="hy-AM"/>
              </w:rPr>
              <w:t xml:space="preserve">Համապատասխան ֆինանսական միջոցներ նախատեսվելու դեպքում կողմերի միջև կնքվող համաձայնագրի ուժի մեջ մտնելու օրվանից հաշված </w:t>
            </w:r>
            <w:r>
              <w:rPr>
                <w:rFonts w:ascii="GHEA Grapalat" w:hAnsi="GHEA Grapalat" w:cs="Calibri"/>
                <w:bCs/>
                <w:sz w:val="20"/>
                <w:szCs w:val="20"/>
                <w:shd w:val="clear" w:color="auto" w:fill="FFFFFF"/>
                <w:lang w:val="hy-AM"/>
              </w:rPr>
              <w:t>2</w:t>
            </w:r>
            <w:r w:rsidRPr="009A4639">
              <w:rPr>
                <w:rFonts w:ascii="GHEA Grapalat" w:hAnsi="GHEA Grapalat" w:cs="Calibri"/>
                <w:bCs/>
                <w:sz w:val="20"/>
                <w:szCs w:val="20"/>
                <w:shd w:val="clear" w:color="auto" w:fill="FFFFFF"/>
                <w:lang w:val="hy-AM"/>
              </w:rPr>
              <w:t>0 օրացույցային օրվա ընթացքում:</w:t>
            </w:r>
          </w:p>
          <w:p w14:paraId="516E7849" w14:textId="77777777" w:rsidR="004410B7" w:rsidRPr="009A4639" w:rsidRDefault="004410B7" w:rsidP="00643DAE">
            <w:pPr>
              <w:spacing w:after="0" w:line="240" w:lineRule="auto"/>
              <w:ind w:left="-1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A4639">
              <w:rPr>
                <w:rFonts w:ascii="GHEA Grapalat" w:hAnsi="GHEA Grapalat"/>
                <w:sz w:val="20"/>
                <w:szCs w:val="20"/>
                <w:lang w:val="hy-AM"/>
              </w:rPr>
              <w:t xml:space="preserve">/ՀՀ ք. Երևան, </w:t>
            </w:r>
          </w:p>
          <w:p w14:paraId="43EBC505" w14:textId="160977F1" w:rsidR="004410B7" w:rsidRPr="009A4639" w:rsidRDefault="004410B7" w:rsidP="00643DAE">
            <w:pPr>
              <w:spacing w:after="0" w:line="240" w:lineRule="auto"/>
              <w:ind w:left="-14"/>
              <w:jc w:val="center"/>
              <w:rPr>
                <w:rFonts w:ascii="GHEA Grapalat" w:hAnsi="GHEA Grapalat" w:cs="Calibri"/>
                <w:bCs/>
                <w:sz w:val="20"/>
                <w:szCs w:val="20"/>
                <w:shd w:val="clear" w:color="auto" w:fill="FFFFFF"/>
                <w:lang w:val="hy-AM"/>
              </w:rPr>
            </w:pPr>
            <w:r w:rsidRPr="009A4639">
              <w:rPr>
                <w:rFonts w:ascii="GHEA Grapalat" w:hAnsi="GHEA Grapalat"/>
                <w:sz w:val="20"/>
                <w:szCs w:val="20"/>
                <w:lang w:val="hy-AM"/>
              </w:rPr>
              <w:t>Էրեբունի 12/</w:t>
            </w:r>
          </w:p>
        </w:tc>
      </w:tr>
      <w:tr w:rsidR="00427950" w:rsidRPr="009A4639" w14:paraId="6AB86E4F" w14:textId="77777777" w:rsidTr="004410B7">
        <w:trPr>
          <w:trHeight w:val="246"/>
        </w:trPr>
        <w:tc>
          <w:tcPr>
            <w:tcW w:w="12474" w:type="dxa"/>
            <w:gridSpan w:val="6"/>
            <w:vAlign w:val="center"/>
          </w:tcPr>
          <w:p w14:paraId="7775512F" w14:textId="77120748" w:rsidR="00427950" w:rsidRPr="009A4639" w:rsidRDefault="00427950" w:rsidP="00427950">
            <w:pPr>
              <w:spacing w:after="0" w:line="240" w:lineRule="auto"/>
              <w:ind w:left="-14"/>
              <w:jc w:val="center"/>
              <w:rPr>
                <w:rFonts w:ascii="GHEA Grapalat" w:hAnsi="GHEA Grapalat"/>
                <w:b/>
                <w:bCs/>
                <w:color w:val="000000"/>
                <w:lang w:val="hy-AM"/>
              </w:rPr>
            </w:pPr>
            <w:r w:rsidRPr="009A4639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hy-AM"/>
              </w:rPr>
              <w:t xml:space="preserve">Գնման ընթացակարգը կազմակերպել «Գնումների մասին» ՀՀ օրենքի 15-րդ հոդվածի 6-րդ մասի </w:t>
            </w:r>
            <w:r w:rsidRPr="009A4639"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  <w:t>2-</w:t>
            </w:r>
            <w:r w:rsidRPr="009A4639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hy-AM"/>
              </w:rPr>
              <w:t>րդ կետի հիման վրա</w:t>
            </w:r>
          </w:p>
        </w:tc>
      </w:tr>
      <w:tr w:rsidR="00643DAE" w:rsidRPr="004410B7" w14:paraId="4472E0C0" w14:textId="77777777" w:rsidTr="004410B7">
        <w:trPr>
          <w:trHeight w:val="246"/>
        </w:trPr>
        <w:tc>
          <w:tcPr>
            <w:tcW w:w="2268" w:type="dxa"/>
            <w:gridSpan w:val="2"/>
            <w:vAlign w:val="center"/>
          </w:tcPr>
          <w:p w14:paraId="0BD11736" w14:textId="240E4021" w:rsidR="00643DAE" w:rsidRPr="009A4639" w:rsidRDefault="00643DAE" w:rsidP="00643DAE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A4639">
              <w:rPr>
                <w:rFonts w:ascii="GHEA Grapalat" w:hAnsi="GHEA Grapalat"/>
                <w:sz w:val="20"/>
                <w:szCs w:val="20"/>
                <w:lang w:val="hy-AM"/>
              </w:rPr>
              <w:t>Այլ պայմաններ</w:t>
            </w:r>
          </w:p>
        </w:tc>
        <w:tc>
          <w:tcPr>
            <w:tcW w:w="10206" w:type="dxa"/>
            <w:gridSpan w:val="4"/>
            <w:vAlign w:val="center"/>
          </w:tcPr>
          <w:p w14:paraId="39B3DEB0" w14:textId="3E21F03E" w:rsidR="00643DAE" w:rsidRPr="009A4639" w:rsidRDefault="001E2780" w:rsidP="001E2780">
            <w:pPr>
              <w:spacing w:after="0" w:line="240" w:lineRule="auto"/>
              <w:jc w:val="center"/>
              <w:rPr>
                <w:rFonts w:ascii="GHEA Grapalat" w:hAnsi="GHEA Grapalat" w:cs="Arial"/>
                <w:i/>
                <w:sz w:val="18"/>
                <w:szCs w:val="18"/>
                <w:lang w:val="hy-AM"/>
              </w:rPr>
            </w:pPr>
            <w:r w:rsidRPr="009A4639">
              <w:rPr>
                <w:rFonts w:ascii="GHEA Grapalat" w:hAnsi="GHEA Grapalat" w:cs="Arial"/>
                <w:i/>
                <w:sz w:val="18"/>
                <w:szCs w:val="18"/>
                <w:lang w:val="hy-AM"/>
              </w:rPr>
              <w:t xml:space="preserve">Մասնակիցը պետք է ներկայացնի </w:t>
            </w:r>
            <w:r w:rsidR="00643DAE" w:rsidRPr="009A4639">
              <w:rPr>
                <w:rFonts w:ascii="GHEA Grapalat" w:hAnsi="GHEA Grapalat" w:cs="Arial"/>
                <w:i/>
                <w:sz w:val="18"/>
                <w:szCs w:val="18"/>
                <w:lang w:val="hy-AM"/>
              </w:rPr>
              <w:t xml:space="preserve">ապրանքային նշանի, արտադրողի, ծագման երկրի վերաբերյալ տեղեկատվության, ինչպես նաև պայմանագրի կատարման փուլում համապատասխանության </w:t>
            </w:r>
            <w:r w:rsidR="003F35AE" w:rsidRPr="009A4639">
              <w:rPr>
                <w:rFonts w:ascii="GHEA Grapalat" w:hAnsi="GHEA Grapalat" w:cs="Arial"/>
                <w:i/>
                <w:sz w:val="18"/>
                <w:szCs w:val="18"/>
                <w:lang w:val="hy-AM"/>
              </w:rPr>
              <w:t>սերտիֆիկատ</w:t>
            </w:r>
            <w:r w:rsidR="00643DAE" w:rsidRPr="009A4639">
              <w:rPr>
                <w:rFonts w:ascii="GHEA Grapalat" w:hAnsi="GHEA Grapalat" w:cs="Arial"/>
                <w:i/>
                <w:sz w:val="18"/>
                <w:szCs w:val="18"/>
                <w:lang w:val="hy-AM"/>
              </w:rPr>
              <w:t>ը:</w:t>
            </w:r>
          </w:p>
        </w:tc>
      </w:tr>
    </w:tbl>
    <w:p w14:paraId="2E6DEA8D" w14:textId="4A7867FE" w:rsidR="0019198C" w:rsidRDefault="0019198C" w:rsidP="003714FB">
      <w:pPr>
        <w:autoSpaceDE w:val="0"/>
        <w:autoSpaceDN w:val="0"/>
        <w:adjustRightInd w:val="0"/>
        <w:spacing w:after="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1B185A37" w14:textId="77777777" w:rsidR="004410B7" w:rsidRDefault="004410B7" w:rsidP="003714FB">
      <w:pPr>
        <w:autoSpaceDE w:val="0"/>
        <w:autoSpaceDN w:val="0"/>
        <w:adjustRightInd w:val="0"/>
        <w:spacing w:after="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3A91334C" w14:textId="77777777" w:rsidR="004410B7" w:rsidRPr="00847A62" w:rsidRDefault="004410B7" w:rsidP="004410B7">
      <w:pPr>
        <w:spacing w:after="0" w:line="240" w:lineRule="auto"/>
        <w:jc w:val="center"/>
        <w:rPr>
          <w:rFonts w:ascii="Calibri" w:hAnsi="Calibri" w:cs="Calibri"/>
          <w:sz w:val="26"/>
          <w:szCs w:val="26"/>
          <w:lang w:val="hy-AM"/>
        </w:rPr>
      </w:pPr>
      <w:r w:rsidRPr="00847A62">
        <w:rPr>
          <w:rFonts w:ascii="Calibri" w:hAnsi="Calibri" w:cs="Calibri"/>
          <w:sz w:val="24"/>
          <w:szCs w:val="24"/>
          <w:lang w:val="hy-AM"/>
        </w:rPr>
        <w:lastRenderedPageBreak/>
        <w:t>                                                               </w:t>
      </w:r>
    </w:p>
    <w:p w14:paraId="6F69BFA7" w14:textId="77777777" w:rsidR="004410B7" w:rsidRPr="00847A62" w:rsidRDefault="004410B7" w:rsidP="004410B7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847A62">
        <w:rPr>
          <w:rFonts w:ascii="GHEA Grapalat" w:hAnsi="GHEA Grapalat" w:cs="GHEA Grapalat"/>
          <w:sz w:val="24"/>
          <w:szCs w:val="24"/>
          <w:lang w:val="hy-AM"/>
        </w:rPr>
        <w:t>ТЕХНИЧЕСКИЕ</w:t>
      </w:r>
      <w:r w:rsidRPr="00847A6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47A62">
        <w:rPr>
          <w:rFonts w:ascii="GHEA Grapalat" w:hAnsi="GHEA Grapalat" w:cs="GHEA Grapalat"/>
          <w:sz w:val="24"/>
          <w:szCs w:val="24"/>
          <w:lang w:val="hy-AM"/>
        </w:rPr>
        <w:t>ХАРАКТЕРИСТИКИ</w:t>
      </w:r>
      <w:r w:rsidRPr="00847A62">
        <w:rPr>
          <w:rFonts w:ascii="GHEA Grapalat" w:hAnsi="GHEA Grapalat"/>
          <w:sz w:val="24"/>
          <w:szCs w:val="24"/>
          <w:lang w:val="hy-AM"/>
        </w:rPr>
        <w:t xml:space="preserve"> - ГРАФИК</w:t>
      </w:r>
      <w:r w:rsidRPr="00847A62">
        <w:rPr>
          <w:rFonts w:ascii="GHEA Grapalat" w:hAnsi="GHEA Grapalat" w:cs="GHEA Grapalat"/>
          <w:sz w:val="24"/>
          <w:szCs w:val="24"/>
          <w:lang w:val="hy-AM"/>
        </w:rPr>
        <w:t xml:space="preserve"> ЗАКУПКА</w:t>
      </w:r>
      <w:r w:rsidRPr="00847A62">
        <w:rPr>
          <w:rFonts w:ascii="GHEA Grapalat" w:hAnsi="GHEA Grapalat"/>
          <w:sz w:val="24"/>
          <w:szCs w:val="24"/>
          <w:lang w:val="hy-AM"/>
        </w:rPr>
        <w:t xml:space="preserve"> * AMD</w:t>
      </w:r>
    </w:p>
    <w:p w14:paraId="46EA49BA" w14:textId="77777777" w:rsidR="004410B7" w:rsidRPr="00847A62" w:rsidRDefault="004410B7" w:rsidP="004410B7">
      <w:pPr>
        <w:spacing w:after="0"/>
        <w:rPr>
          <w:rFonts w:ascii="GHEA Grapalat" w:hAnsi="GHEA Grapalat"/>
          <w:lang w:val="hy-AM"/>
        </w:rPr>
      </w:pPr>
    </w:p>
    <w:tbl>
      <w:tblPr>
        <w:tblW w:w="12614" w:type="dxa"/>
        <w:tblInd w:w="-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688"/>
        <w:gridCol w:w="6095"/>
        <w:gridCol w:w="992"/>
        <w:gridCol w:w="1134"/>
        <w:gridCol w:w="1985"/>
      </w:tblGrid>
      <w:tr w:rsidR="004410B7" w:rsidRPr="00847A62" w14:paraId="20729C9D" w14:textId="77777777" w:rsidTr="004410B7">
        <w:tc>
          <w:tcPr>
            <w:tcW w:w="12614" w:type="dxa"/>
            <w:gridSpan w:val="6"/>
            <w:vAlign w:val="center"/>
          </w:tcPr>
          <w:p w14:paraId="251B3951" w14:textId="77777777" w:rsidR="004410B7" w:rsidRPr="00847A62" w:rsidRDefault="004410B7" w:rsidP="00417DC5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47A62">
              <w:rPr>
                <w:rFonts w:ascii="GHEA Grapalat" w:hAnsi="GHEA Grapalat"/>
                <w:sz w:val="20"/>
                <w:szCs w:val="20"/>
                <w:lang w:val="hy-AM"/>
              </w:rPr>
              <w:t>Товара</w:t>
            </w:r>
          </w:p>
        </w:tc>
      </w:tr>
      <w:tr w:rsidR="004410B7" w:rsidRPr="00847A62" w14:paraId="4ABE2CB8" w14:textId="77777777" w:rsidTr="004410B7">
        <w:trPr>
          <w:trHeight w:val="219"/>
        </w:trPr>
        <w:tc>
          <w:tcPr>
            <w:tcW w:w="720" w:type="dxa"/>
            <w:vMerge w:val="restart"/>
            <w:vAlign w:val="center"/>
          </w:tcPr>
          <w:p w14:paraId="67EEF1BF" w14:textId="77777777" w:rsidR="004410B7" w:rsidRPr="00847A62" w:rsidRDefault="004410B7" w:rsidP="00417DC5">
            <w:pPr>
              <w:spacing w:after="0"/>
              <w:ind w:left="-105" w:right="-10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47A62">
              <w:rPr>
                <w:rFonts w:ascii="GHEA Grapalat" w:hAnsi="GHEA Grapalat"/>
                <w:sz w:val="20"/>
                <w:szCs w:val="20"/>
                <w:lang w:val="hy-AM"/>
              </w:rPr>
              <w:t>Номер лота, предназначенного по приглашению</w:t>
            </w:r>
          </w:p>
        </w:tc>
        <w:tc>
          <w:tcPr>
            <w:tcW w:w="1688" w:type="dxa"/>
            <w:vMerge w:val="restart"/>
            <w:vAlign w:val="center"/>
          </w:tcPr>
          <w:p w14:paraId="54BD2DDD" w14:textId="77777777" w:rsidR="004410B7" w:rsidRPr="00847A62" w:rsidRDefault="004410B7" w:rsidP="00417DC5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47A62">
              <w:rPr>
                <w:rFonts w:ascii="GHEA Grapalat" w:hAnsi="GHEA Grapalat"/>
                <w:sz w:val="20"/>
                <w:szCs w:val="20"/>
                <w:lang w:val="hy-AM"/>
              </w:rPr>
              <w:t>Предусмотрено планом закупок код доступа в соответствии с классификацией GSA (CPV)</w:t>
            </w:r>
          </w:p>
        </w:tc>
        <w:tc>
          <w:tcPr>
            <w:tcW w:w="6095" w:type="dxa"/>
            <w:vMerge w:val="restart"/>
            <w:vAlign w:val="center"/>
          </w:tcPr>
          <w:p w14:paraId="78954C53" w14:textId="77777777" w:rsidR="004410B7" w:rsidRPr="00847A62" w:rsidRDefault="004410B7" w:rsidP="00417DC5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47A62">
              <w:rPr>
                <w:rFonts w:ascii="GHEA Grapalat" w:hAnsi="GHEA Grapalat"/>
                <w:sz w:val="20"/>
                <w:szCs w:val="20"/>
                <w:lang w:val="hy-AM"/>
              </w:rPr>
              <w:t>Техническая характеристика</w:t>
            </w:r>
          </w:p>
        </w:tc>
        <w:tc>
          <w:tcPr>
            <w:tcW w:w="992" w:type="dxa"/>
            <w:vMerge w:val="restart"/>
            <w:vAlign w:val="center"/>
          </w:tcPr>
          <w:p w14:paraId="129E1294" w14:textId="77777777" w:rsidR="004410B7" w:rsidRPr="00847A62" w:rsidRDefault="004410B7" w:rsidP="00417DC5">
            <w:pPr>
              <w:spacing w:after="0"/>
              <w:ind w:left="-104" w:right="-10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47A62">
              <w:rPr>
                <w:rFonts w:ascii="GHEA Grapalat" w:hAnsi="GHEA Grapalat"/>
                <w:sz w:val="20"/>
                <w:szCs w:val="20"/>
                <w:lang w:val="hy-AM"/>
              </w:rPr>
              <w:t>Единица измерения</w:t>
            </w:r>
          </w:p>
        </w:tc>
        <w:tc>
          <w:tcPr>
            <w:tcW w:w="1134" w:type="dxa"/>
            <w:vMerge w:val="restart"/>
            <w:vAlign w:val="center"/>
          </w:tcPr>
          <w:p w14:paraId="4F19FFC4" w14:textId="77777777" w:rsidR="004410B7" w:rsidRPr="00847A62" w:rsidRDefault="004410B7" w:rsidP="00417DC5">
            <w:pPr>
              <w:spacing w:after="0"/>
              <w:ind w:left="-107" w:right="-111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47A62">
              <w:rPr>
                <w:rFonts w:ascii="GHEA Grapalat" w:hAnsi="GHEA Grapalat"/>
                <w:sz w:val="20"/>
                <w:szCs w:val="20"/>
                <w:lang w:val="hy-AM"/>
              </w:rPr>
              <w:t>Общее количество:</w:t>
            </w:r>
          </w:p>
        </w:tc>
        <w:tc>
          <w:tcPr>
            <w:tcW w:w="1985" w:type="dxa"/>
            <w:vAlign w:val="center"/>
          </w:tcPr>
          <w:p w14:paraId="3375D6CC" w14:textId="77777777" w:rsidR="004410B7" w:rsidRPr="00847A62" w:rsidRDefault="004410B7" w:rsidP="00417DC5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47A62">
              <w:rPr>
                <w:rFonts w:ascii="GHEA Grapalat" w:hAnsi="GHEA Grapalat"/>
                <w:sz w:val="20"/>
                <w:szCs w:val="20"/>
                <w:lang w:val="hy-AM"/>
              </w:rPr>
              <w:t>Доставка</w:t>
            </w:r>
          </w:p>
        </w:tc>
      </w:tr>
      <w:tr w:rsidR="004410B7" w:rsidRPr="00847A62" w14:paraId="19802661" w14:textId="77777777" w:rsidTr="004410B7">
        <w:trPr>
          <w:trHeight w:val="445"/>
        </w:trPr>
        <w:tc>
          <w:tcPr>
            <w:tcW w:w="720" w:type="dxa"/>
            <w:vMerge/>
            <w:vAlign w:val="center"/>
          </w:tcPr>
          <w:p w14:paraId="7CC67C29" w14:textId="77777777" w:rsidR="004410B7" w:rsidRPr="00847A62" w:rsidRDefault="004410B7" w:rsidP="00417DC5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688" w:type="dxa"/>
            <w:vMerge/>
            <w:vAlign w:val="center"/>
          </w:tcPr>
          <w:p w14:paraId="6596319F" w14:textId="77777777" w:rsidR="004410B7" w:rsidRPr="00847A62" w:rsidRDefault="004410B7" w:rsidP="00417DC5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6095" w:type="dxa"/>
            <w:vMerge/>
            <w:vAlign w:val="center"/>
          </w:tcPr>
          <w:p w14:paraId="4DFA7CFF" w14:textId="77777777" w:rsidR="004410B7" w:rsidRPr="00847A62" w:rsidRDefault="004410B7" w:rsidP="00417DC5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vMerge/>
            <w:vAlign w:val="center"/>
          </w:tcPr>
          <w:p w14:paraId="1D9A337B" w14:textId="77777777" w:rsidR="004410B7" w:rsidRPr="00847A62" w:rsidRDefault="004410B7" w:rsidP="00417DC5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34" w:type="dxa"/>
            <w:vMerge/>
            <w:vAlign w:val="center"/>
          </w:tcPr>
          <w:p w14:paraId="7581483B" w14:textId="77777777" w:rsidR="004410B7" w:rsidRPr="00847A62" w:rsidRDefault="004410B7" w:rsidP="00417DC5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vAlign w:val="center"/>
          </w:tcPr>
          <w:p w14:paraId="7BBCEA94" w14:textId="77777777" w:rsidR="004410B7" w:rsidRPr="00847A62" w:rsidRDefault="004410B7" w:rsidP="00417DC5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47A62">
              <w:rPr>
                <w:rFonts w:ascii="GHEA Grapalat" w:hAnsi="GHEA Grapalat"/>
                <w:sz w:val="20"/>
                <w:szCs w:val="20"/>
                <w:lang w:val="hy-AM"/>
              </w:rPr>
              <w:t>Адрес и срок</w:t>
            </w:r>
          </w:p>
        </w:tc>
      </w:tr>
      <w:tr w:rsidR="004410B7" w:rsidRPr="00847A62" w14:paraId="1645E261" w14:textId="77777777" w:rsidTr="004410B7">
        <w:trPr>
          <w:trHeight w:val="246"/>
        </w:trPr>
        <w:tc>
          <w:tcPr>
            <w:tcW w:w="720" w:type="dxa"/>
            <w:vAlign w:val="center"/>
          </w:tcPr>
          <w:p w14:paraId="644D1F64" w14:textId="77777777" w:rsidR="004410B7" w:rsidRPr="00847A62" w:rsidRDefault="004410B7" w:rsidP="00417DC5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47A62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1688" w:type="dxa"/>
            <w:vAlign w:val="center"/>
          </w:tcPr>
          <w:p w14:paraId="7DBA3C74" w14:textId="77777777" w:rsidR="004410B7" w:rsidRPr="00847A62" w:rsidRDefault="004410B7" w:rsidP="00417DC5">
            <w:pPr>
              <w:pStyle w:val="NormalWeb"/>
              <w:spacing w:before="0" w:beforeAutospacing="0" w:after="0" w:afterAutospacing="0"/>
              <w:ind w:left="-14" w:right="-1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47A62">
              <w:rPr>
                <w:rFonts w:ascii="GHEA Grapalat" w:hAnsi="GHEA Grapalat"/>
                <w:sz w:val="20"/>
                <w:szCs w:val="20"/>
                <w:lang w:val="hy-AM"/>
              </w:rPr>
              <w:t>Используемая в ветеринарии</w:t>
            </w:r>
          </w:p>
          <w:p w14:paraId="6CAE3B61" w14:textId="77777777" w:rsidR="004410B7" w:rsidRPr="00847A62" w:rsidRDefault="004410B7" w:rsidP="00417DC5">
            <w:pPr>
              <w:spacing w:after="0" w:line="240" w:lineRule="auto"/>
              <w:ind w:left="-10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47A62">
              <w:rPr>
                <w:rFonts w:ascii="GHEA Grapalat" w:hAnsi="GHEA Grapalat"/>
                <w:sz w:val="20"/>
                <w:szCs w:val="20"/>
                <w:lang w:val="hy-AM"/>
              </w:rPr>
              <w:t>формолвакцина против эмфизематоз</w:t>
            </w:r>
          </w:p>
          <w:p w14:paraId="7328E136" w14:textId="77777777" w:rsidR="004410B7" w:rsidRPr="00847A62" w:rsidRDefault="004410B7" w:rsidP="00417DC5">
            <w:pPr>
              <w:pStyle w:val="NormalWeb"/>
              <w:spacing w:before="0" w:beforeAutospacing="0" w:after="0" w:afterAutospacing="0"/>
              <w:ind w:left="-11" w:right="-10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47A62">
              <w:rPr>
                <w:rFonts w:ascii="GHEA Grapalat" w:hAnsi="GHEA Grapalat"/>
                <w:sz w:val="20"/>
                <w:szCs w:val="20"/>
                <w:lang w:val="hy-AM"/>
              </w:rPr>
              <w:t>ного карбункула крупного рогатого скота и овец, концентри</w:t>
            </w:r>
          </w:p>
          <w:p w14:paraId="0254C0E5" w14:textId="77777777" w:rsidR="004410B7" w:rsidRPr="00847A62" w:rsidRDefault="004410B7" w:rsidP="00417DC5">
            <w:pPr>
              <w:pStyle w:val="NormalWeb"/>
              <w:spacing w:before="0" w:beforeAutospacing="0" w:after="0" w:afterAutospacing="0"/>
              <w:ind w:left="-11" w:right="-10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47A62">
              <w:rPr>
                <w:rFonts w:ascii="GHEA Grapalat" w:hAnsi="GHEA Grapalat"/>
                <w:sz w:val="20"/>
                <w:szCs w:val="20"/>
                <w:lang w:val="hy-AM"/>
              </w:rPr>
              <w:t>ро</w:t>
            </w:r>
            <w:r w:rsidRPr="00847A62">
              <w:rPr>
                <w:rFonts w:ascii="GHEA Grapalat" w:hAnsi="GHEA Grapalat"/>
                <w:sz w:val="20"/>
                <w:szCs w:val="20"/>
                <w:lang w:val="ru-RU"/>
              </w:rPr>
              <w:t>в</w:t>
            </w:r>
            <w:r w:rsidRPr="00847A62">
              <w:rPr>
                <w:rFonts w:ascii="GHEA Grapalat" w:hAnsi="GHEA Grapalat"/>
                <w:sz w:val="20"/>
                <w:szCs w:val="20"/>
                <w:lang w:val="hy-AM"/>
              </w:rPr>
              <w:t>анная гидроокисьаллюмениевая</w:t>
            </w:r>
          </w:p>
          <w:p w14:paraId="0878B071" w14:textId="77777777" w:rsidR="004410B7" w:rsidRPr="00847A62" w:rsidRDefault="004410B7" w:rsidP="00417DC5">
            <w:pPr>
              <w:spacing w:after="0"/>
              <w:ind w:left="-134" w:right="-10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47A62">
              <w:rPr>
                <w:rFonts w:ascii="GHEA Grapalat" w:hAnsi="GHEA Grapalat"/>
                <w:sz w:val="20"/>
                <w:szCs w:val="20"/>
                <w:lang w:val="hy-AM"/>
              </w:rPr>
              <w:t>33651257</w:t>
            </w:r>
          </w:p>
        </w:tc>
        <w:tc>
          <w:tcPr>
            <w:tcW w:w="6095" w:type="dxa"/>
            <w:vAlign w:val="center"/>
          </w:tcPr>
          <w:p w14:paraId="191588B7" w14:textId="77777777" w:rsidR="004410B7" w:rsidRPr="00847A62" w:rsidRDefault="004410B7" w:rsidP="00417DC5">
            <w:pPr>
              <w:pStyle w:val="NormalWeb"/>
              <w:spacing w:before="0" w:beforeAutospacing="0" w:after="0" w:afterAutospacing="0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47A62">
              <w:rPr>
                <w:rFonts w:ascii="GHEA Grapalat" w:hAnsi="GHEA Grapalat"/>
                <w:sz w:val="20"/>
                <w:szCs w:val="20"/>
                <w:lang w:val="hy-AM"/>
              </w:rPr>
              <w:t>Флаконы должны быть плотно закрыты металлическим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и</w:t>
            </w:r>
            <w:r w:rsidRPr="00847A62">
              <w:rPr>
                <w:rFonts w:ascii="GHEA Grapalat" w:hAnsi="GHEA Grapalat"/>
                <w:sz w:val="20"/>
                <w:szCs w:val="20"/>
                <w:lang w:val="hy-AM"/>
              </w:rPr>
              <w:t xml:space="preserve"> пробками. Внешне вакцина представляет собой желтовато-белый или светло-коричневый осадок, который легко растворяется после встряхивания.</w:t>
            </w:r>
          </w:p>
          <w:p w14:paraId="6A2A9EA6" w14:textId="77777777" w:rsidR="004410B7" w:rsidRPr="00847A62" w:rsidRDefault="004410B7" w:rsidP="00417DC5">
            <w:pPr>
              <w:pStyle w:val="NormalWeb"/>
              <w:spacing w:before="0" w:beforeAutospacing="0" w:after="0" w:afterAutospacing="0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47A62">
              <w:rPr>
                <w:rFonts w:ascii="GHEA Grapalat" w:hAnsi="GHEA Grapalat"/>
                <w:sz w:val="20"/>
                <w:szCs w:val="20"/>
                <w:lang w:val="hy-AM"/>
              </w:rPr>
              <w:t xml:space="preserve">На каждом флаконе должно быть указано наименование вакцины, страны-изготовителя, наименование организации, дозы, номер серии, дата изготовления и срок годности вакцины. Остаточный срок годности не менее 16 месяцев. Флаконы с вакциной должны быть по 100 мл 50 доз. Температура хранения и перевозки вакцины должен быть от +2˚ до +15˚ C. Наличие температурных показателей обязательно. </w:t>
            </w:r>
          </w:p>
          <w:p w14:paraId="00153085" w14:textId="77777777" w:rsidR="004410B7" w:rsidRPr="00D4739B" w:rsidRDefault="004410B7" w:rsidP="00417DC5">
            <w:pPr>
              <w:pStyle w:val="NormalWeb"/>
              <w:spacing w:before="0" w:beforeAutospacing="0" w:after="0" w:afterAutospacing="0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47A62">
              <w:rPr>
                <w:rFonts w:ascii="GHEA Grapalat" w:hAnsi="GHEA Grapalat"/>
                <w:sz w:val="20"/>
                <w:szCs w:val="20"/>
                <w:lang w:val="hy-AM"/>
              </w:rPr>
              <w:t xml:space="preserve">На этикетке должна быть надпись Государственный заказ, не </w:t>
            </w:r>
            <w:r w:rsidRPr="00D4739B">
              <w:rPr>
                <w:rFonts w:ascii="GHEA Grapalat" w:hAnsi="GHEA Grapalat"/>
                <w:sz w:val="20"/>
                <w:szCs w:val="20"/>
                <w:lang w:val="hy-AM"/>
              </w:rPr>
              <w:t xml:space="preserve">подлежит продаже. </w:t>
            </w:r>
          </w:p>
          <w:p w14:paraId="47F310D1" w14:textId="77777777" w:rsidR="004410B7" w:rsidRPr="000F0DC7" w:rsidRDefault="004410B7" w:rsidP="00417DC5">
            <w:pPr>
              <w:pStyle w:val="NormalWeb"/>
              <w:spacing w:before="0" w:beforeAutospacing="0" w:after="0" w:afterAutospacing="0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4739B">
              <w:rPr>
                <w:rFonts w:ascii="GHEA Grapalat" w:hAnsi="GHEA Grapalat"/>
                <w:sz w:val="20"/>
                <w:szCs w:val="20"/>
                <w:lang w:val="hy-AM"/>
              </w:rPr>
              <w:t>Вакцина должна быть и</w:t>
            </w:r>
            <w:r w:rsidRPr="00D4739B">
              <w:rPr>
                <w:rFonts w:ascii="GHEA Grapalat" w:hAnsi="GHEA Grapalat"/>
                <w:sz w:val="20"/>
                <w:szCs w:val="20"/>
                <w:lang w:val="ru-RU"/>
              </w:rPr>
              <w:t>з</w:t>
            </w:r>
            <w:r w:rsidRPr="00D4739B">
              <w:rPr>
                <w:rFonts w:ascii="GHEA Grapalat" w:hAnsi="GHEA Grapalat"/>
                <w:sz w:val="20"/>
                <w:szCs w:val="20"/>
                <w:lang w:val="hy-AM"/>
              </w:rPr>
              <w:t>готовлена в соответствии стандарту Надлежащей производственной практики /</w:t>
            </w:r>
            <w:r w:rsidRPr="00D4739B">
              <w:rPr>
                <w:rFonts w:ascii="GHEA Grapalat" w:hAnsi="GHEA Grapalat" w:cs="Calibri"/>
                <w:sz w:val="20"/>
                <w:szCs w:val="20"/>
                <w:lang w:val="hy-AM"/>
              </w:rPr>
              <w:t>Good Manufacturing Practice (GMP)/</w:t>
            </w:r>
            <w:r w:rsidRPr="00D4739B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D4739B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D4739B">
              <w:rPr>
                <w:rFonts w:ascii="GHEA Grapalat" w:hAnsi="GHEA Grapalat"/>
                <w:sz w:val="20"/>
                <w:szCs w:val="20"/>
                <w:lang w:val="hy-AM"/>
              </w:rPr>
              <w:t xml:space="preserve">Вакцина </w:t>
            </w:r>
            <w:r w:rsidRPr="000F0DC7">
              <w:rPr>
                <w:rFonts w:ascii="GHEA Grapalat" w:hAnsi="GHEA Grapalat"/>
                <w:sz w:val="20"/>
                <w:szCs w:val="20"/>
                <w:lang w:val="hy-AM"/>
              </w:rPr>
              <w:t xml:space="preserve">должна быть зарегистрирована в Республике Армения </w:t>
            </w:r>
            <w:r w:rsidRPr="000F0DC7">
              <w:rPr>
                <w:rFonts w:ascii="GHEA Grapalat" w:hAnsi="GHEA Grapalat"/>
                <w:sz w:val="20"/>
                <w:szCs w:val="20"/>
                <w:lang w:val="ru-RU"/>
              </w:rPr>
              <w:t>или в странах-член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ах</w:t>
            </w:r>
            <w:r w:rsidRPr="000F0DC7">
              <w:rPr>
                <w:rFonts w:ascii="GHEA Grapalat" w:hAnsi="GHEA Grapalat"/>
                <w:sz w:val="20"/>
                <w:szCs w:val="20"/>
                <w:lang w:val="ru-RU"/>
              </w:rPr>
              <w:t xml:space="preserve"> Евразийского экономического союза</w:t>
            </w:r>
            <w:r w:rsidRPr="000F0DC7">
              <w:rPr>
                <w:rFonts w:ascii="GHEA Grapalat" w:hAnsi="GHEA Grapalat"/>
                <w:sz w:val="20"/>
                <w:szCs w:val="20"/>
                <w:lang w:val="hy-AM"/>
              </w:rPr>
              <w:t>.</w:t>
            </w:r>
          </w:p>
          <w:p w14:paraId="52D90C1A" w14:textId="77777777" w:rsidR="004410B7" w:rsidRPr="00847A62" w:rsidRDefault="004410B7" w:rsidP="00417DC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847A62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Вакцина должна соотве</w:t>
            </w:r>
            <w:r w:rsidRPr="00847A62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т</w:t>
            </w:r>
            <w:r w:rsidRPr="00847A62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ствовать требованиям по импорту и транспортировке лекарственных средств, используемых в ветеринарии на таможенной территории Евразийского экономического союза.</w:t>
            </w:r>
          </w:p>
        </w:tc>
        <w:tc>
          <w:tcPr>
            <w:tcW w:w="992" w:type="dxa"/>
            <w:vAlign w:val="center"/>
          </w:tcPr>
          <w:p w14:paraId="6BB21151" w14:textId="77777777" w:rsidR="004410B7" w:rsidRPr="00847A62" w:rsidRDefault="004410B7" w:rsidP="00417DC5">
            <w:pPr>
              <w:spacing w:after="0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847A62">
              <w:rPr>
                <w:rFonts w:ascii="GHEA Grapalat" w:hAnsi="GHEA Grapalat"/>
                <w:sz w:val="24"/>
                <w:szCs w:val="24"/>
                <w:lang w:val="hy-AM"/>
              </w:rPr>
              <w:t>мл</w:t>
            </w:r>
          </w:p>
        </w:tc>
        <w:tc>
          <w:tcPr>
            <w:tcW w:w="1134" w:type="dxa"/>
            <w:vAlign w:val="center"/>
          </w:tcPr>
          <w:p w14:paraId="488100EE" w14:textId="77777777" w:rsidR="004410B7" w:rsidRPr="00847A62" w:rsidRDefault="004410B7" w:rsidP="00417DC5">
            <w:pPr>
              <w:spacing w:after="0"/>
              <w:ind w:left="-104" w:right="-10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905,100</w:t>
            </w:r>
          </w:p>
        </w:tc>
        <w:tc>
          <w:tcPr>
            <w:tcW w:w="1985" w:type="dxa"/>
            <w:vAlign w:val="center"/>
          </w:tcPr>
          <w:p w14:paraId="180D7A1D" w14:textId="77777777" w:rsidR="004410B7" w:rsidRPr="00847A62" w:rsidRDefault="004410B7" w:rsidP="00417DC5">
            <w:pPr>
              <w:spacing w:after="0" w:line="240" w:lineRule="auto"/>
              <w:ind w:left="-104" w:right="-104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847A62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В течение </w:t>
            </w: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2</w:t>
            </w:r>
            <w:r w:rsidRPr="00847A62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0 календарных дней </w:t>
            </w:r>
          </w:p>
          <w:p w14:paraId="5812613B" w14:textId="77777777" w:rsidR="004410B7" w:rsidRPr="00847A62" w:rsidRDefault="004410B7" w:rsidP="00417DC5">
            <w:pPr>
              <w:spacing w:after="0" w:line="240" w:lineRule="auto"/>
              <w:ind w:left="-104" w:right="-104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847A62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с даты вступления в силу соглашения между сторонами </w:t>
            </w:r>
          </w:p>
          <w:p w14:paraId="54290533" w14:textId="77777777" w:rsidR="004410B7" w:rsidRPr="00847A62" w:rsidRDefault="004410B7" w:rsidP="00417DC5">
            <w:pPr>
              <w:spacing w:after="0" w:line="240" w:lineRule="auto"/>
              <w:ind w:left="-104" w:right="-104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847A62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при наличии соответствующих финансовых средств.</w:t>
            </w:r>
          </w:p>
          <w:p w14:paraId="44B95D87" w14:textId="77777777" w:rsidR="004410B7" w:rsidRPr="00847A62" w:rsidRDefault="004410B7" w:rsidP="00417DC5">
            <w:pPr>
              <w:spacing w:after="0" w:line="240" w:lineRule="auto"/>
              <w:ind w:left="-104" w:right="-104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847A62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/РА </w:t>
            </w:r>
            <w:r w:rsidRPr="00847A62">
              <w:rPr>
                <w:rFonts w:ascii="GHEA Grapalat" w:hAnsi="GHEA Grapalat"/>
                <w:sz w:val="20"/>
                <w:szCs w:val="20"/>
                <w:lang w:val="hy-AM"/>
              </w:rPr>
              <w:t>г.Ереван, Эребуни 12/</w:t>
            </w:r>
          </w:p>
        </w:tc>
      </w:tr>
      <w:tr w:rsidR="004410B7" w:rsidRPr="002C6BF2" w14:paraId="359E6EC3" w14:textId="77777777" w:rsidTr="004410B7">
        <w:trPr>
          <w:trHeight w:val="246"/>
        </w:trPr>
        <w:tc>
          <w:tcPr>
            <w:tcW w:w="12614" w:type="dxa"/>
            <w:gridSpan w:val="6"/>
            <w:vAlign w:val="center"/>
          </w:tcPr>
          <w:p w14:paraId="120A7104" w14:textId="77777777" w:rsidR="004410B7" w:rsidRPr="00847A62" w:rsidRDefault="004410B7" w:rsidP="00417DC5">
            <w:pPr>
              <w:spacing w:after="0" w:line="240" w:lineRule="auto"/>
              <w:ind w:right="-104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  <w:r w:rsidRPr="00847A62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Организовать закупку на основании </w:t>
            </w:r>
            <w:r w:rsidRPr="00847A62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/>
              </w:rPr>
              <w:t xml:space="preserve">пункта 2 </w:t>
            </w:r>
            <w:r w:rsidRPr="00847A62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>части 6 статьи 15 Закона РА «О закупках».</w:t>
            </w:r>
          </w:p>
        </w:tc>
      </w:tr>
      <w:tr w:rsidR="004410B7" w:rsidRPr="002C6BF2" w14:paraId="77D0A667" w14:textId="77777777" w:rsidTr="004410B7">
        <w:trPr>
          <w:trHeight w:val="246"/>
        </w:trPr>
        <w:tc>
          <w:tcPr>
            <w:tcW w:w="2408" w:type="dxa"/>
            <w:gridSpan w:val="2"/>
            <w:vAlign w:val="center"/>
          </w:tcPr>
          <w:p w14:paraId="1A0BED2F" w14:textId="77777777" w:rsidR="004410B7" w:rsidRPr="00847A62" w:rsidRDefault="004410B7" w:rsidP="00417DC5">
            <w:pPr>
              <w:pStyle w:val="NormalWeb"/>
              <w:spacing w:before="0" w:beforeAutospacing="0" w:after="0" w:afterAutospacing="0"/>
              <w:ind w:left="-104" w:right="-72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5696DC58" w14:textId="77777777" w:rsidR="004410B7" w:rsidRPr="00847A62" w:rsidRDefault="004410B7" w:rsidP="00417DC5">
            <w:pPr>
              <w:pStyle w:val="NormalWeb"/>
              <w:spacing w:before="0" w:beforeAutospacing="0" w:after="0" w:afterAutospacing="0"/>
              <w:ind w:left="-104" w:right="-72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47A62">
              <w:rPr>
                <w:rFonts w:ascii="GHEA Grapalat" w:hAnsi="GHEA Grapalat"/>
                <w:sz w:val="20"/>
                <w:szCs w:val="20"/>
                <w:lang w:val="hy-AM"/>
              </w:rPr>
              <w:t>Другие условия:</w:t>
            </w:r>
          </w:p>
          <w:p w14:paraId="7490059D" w14:textId="77777777" w:rsidR="004410B7" w:rsidRPr="00847A62" w:rsidRDefault="004410B7" w:rsidP="00417DC5">
            <w:pPr>
              <w:pStyle w:val="NormalWeb"/>
              <w:spacing w:before="0" w:beforeAutospacing="0" w:after="0" w:afterAutospacing="0"/>
              <w:ind w:left="-104" w:right="-72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0206" w:type="dxa"/>
            <w:gridSpan w:val="4"/>
            <w:vAlign w:val="center"/>
          </w:tcPr>
          <w:p w14:paraId="54345C95" w14:textId="77777777" w:rsidR="004410B7" w:rsidRPr="00847A62" w:rsidRDefault="004410B7" w:rsidP="00417DC5">
            <w:pPr>
              <w:spacing w:after="0" w:line="240" w:lineRule="auto"/>
              <w:ind w:left="-104" w:right="-104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847A62">
              <w:rPr>
                <w:rFonts w:ascii="GHEA Grapalat" w:hAnsi="GHEA Grapalat"/>
                <w:i/>
                <w:sz w:val="20"/>
                <w:szCs w:val="20"/>
                <w:lang w:val="hy-AM"/>
              </w:rPr>
              <w:t>У</w:t>
            </w:r>
            <w:r w:rsidRPr="00847A62">
              <w:rPr>
                <w:rFonts w:ascii="GHEA Grapalat" w:hAnsi="GHEA Grapalat"/>
                <w:i/>
                <w:sz w:val="20"/>
                <w:szCs w:val="20"/>
                <w:lang w:val="ru-RU"/>
              </w:rPr>
              <w:t>ч</w:t>
            </w:r>
            <w:r w:rsidRPr="00847A62">
              <w:rPr>
                <w:rFonts w:ascii="GHEA Grapalat" w:hAnsi="GHEA Grapalat"/>
                <w:i/>
                <w:sz w:val="20"/>
                <w:szCs w:val="20"/>
                <w:lang w:val="hy-AM"/>
              </w:rPr>
              <w:t>астник должен предъявить информацию о торговой марке, производителе, страны происхождения, а так же сертификат соответствия в стадии исполнения контракта.</w:t>
            </w:r>
          </w:p>
        </w:tc>
      </w:tr>
    </w:tbl>
    <w:p w14:paraId="77B9A703" w14:textId="77777777" w:rsidR="004410B7" w:rsidRPr="004410B7" w:rsidRDefault="004410B7" w:rsidP="003714FB">
      <w:pPr>
        <w:autoSpaceDE w:val="0"/>
        <w:autoSpaceDN w:val="0"/>
        <w:adjustRightInd w:val="0"/>
        <w:spacing w:after="0" w:line="240" w:lineRule="auto"/>
        <w:rPr>
          <w:rFonts w:ascii="GHEA Grapalat" w:hAnsi="GHEA Grapalat"/>
          <w:sz w:val="20"/>
          <w:szCs w:val="20"/>
          <w:lang w:val="ru-RU"/>
        </w:rPr>
      </w:pPr>
    </w:p>
    <w:sectPr w:rsidR="004410B7" w:rsidRPr="004410B7" w:rsidSect="00C962ED">
      <w:pgSz w:w="16838" w:h="11906" w:orient="landscape"/>
      <w:pgMar w:top="289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39F"/>
    <w:rsid w:val="00011617"/>
    <w:rsid w:val="00012856"/>
    <w:rsid w:val="000155BA"/>
    <w:rsid w:val="000159BE"/>
    <w:rsid w:val="00021480"/>
    <w:rsid w:val="00022434"/>
    <w:rsid w:val="00035908"/>
    <w:rsid w:val="00047C3F"/>
    <w:rsid w:val="000555AD"/>
    <w:rsid w:val="00055F83"/>
    <w:rsid w:val="000646E3"/>
    <w:rsid w:val="00071354"/>
    <w:rsid w:val="000763B0"/>
    <w:rsid w:val="001318A2"/>
    <w:rsid w:val="001432F7"/>
    <w:rsid w:val="00145895"/>
    <w:rsid w:val="00146C53"/>
    <w:rsid w:val="001504A3"/>
    <w:rsid w:val="0019198C"/>
    <w:rsid w:val="001A3437"/>
    <w:rsid w:val="001B78A6"/>
    <w:rsid w:val="001B7AF7"/>
    <w:rsid w:val="001C0BF9"/>
    <w:rsid w:val="001C14AC"/>
    <w:rsid w:val="001C67FA"/>
    <w:rsid w:val="001C7C8C"/>
    <w:rsid w:val="001E2780"/>
    <w:rsid w:val="002125C7"/>
    <w:rsid w:val="00216488"/>
    <w:rsid w:val="00236D38"/>
    <w:rsid w:val="00246807"/>
    <w:rsid w:val="00251965"/>
    <w:rsid w:val="00266997"/>
    <w:rsid w:val="00267EA8"/>
    <w:rsid w:val="00272637"/>
    <w:rsid w:val="00274CBD"/>
    <w:rsid w:val="002A4B1F"/>
    <w:rsid w:val="002B2045"/>
    <w:rsid w:val="002B26BA"/>
    <w:rsid w:val="002C0D3F"/>
    <w:rsid w:val="002C7063"/>
    <w:rsid w:val="002D7951"/>
    <w:rsid w:val="002E08D5"/>
    <w:rsid w:val="002E4F99"/>
    <w:rsid w:val="002E69D4"/>
    <w:rsid w:val="00323DCA"/>
    <w:rsid w:val="00354D9F"/>
    <w:rsid w:val="003714FB"/>
    <w:rsid w:val="00384C61"/>
    <w:rsid w:val="00397A4E"/>
    <w:rsid w:val="003B2FBD"/>
    <w:rsid w:val="003D001C"/>
    <w:rsid w:val="003E1297"/>
    <w:rsid w:val="003E154F"/>
    <w:rsid w:val="003E5D70"/>
    <w:rsid w:val="003F35AE"/>
    <w:rsid w:val="00404598"/>
    <w:rsid w:val="00425982"/>
    <w:rsid w:val="00427950"/>
    <w:rsid w:val="004410B7"/>
    <w:rsid w:val="004413C1"/>
    <w:rsid w:val="0044438C"/>
    <w:rsid w:val="004476C3"/>
    <w:rsid w:val="004627C7"/>
    <w:rsid w:val="00467CA9"/>
    <w:rsid w:val="004760A9"/>
    <w:rsid w:val="00480D16"/>
    <w:rsid w:val="00490F79"/>
    <w:rsid w:val="004A6516"/>
    <w:rsid w:val="004D649A"/>
    <w:rsid w:val="004F353F"/>
    <w:rsid w:val="00503F4D"/>
    <w:rsid w:val="005041DC"/>
    <w:rsid w:val="005116FF"/>
    <w:rsid w:val="00513A7D"/>
    <w:rsid w:val="0051543C"/>
    <w:rsid w:val="00516DAB"/>
    <w:rsid w:val="00540A0F"/>
    <w:rsid w:val="00550E0E"/>
    <w:rsid w:val="005574D6"/>
    <w:rsid w:val="00562D14"/>
    <w:rsid w:val="00590C4F"/>
    <w:rsid w:val="005A774C"/>
    <w:rsid w:val="005B21BC"/>
    <w:rsid w:val="005B4144"/>
    <w:rsid w:val="005E50A2"/>
    <w:rsid w:val="005E6102"/>
    <w:rsid w:val="005F1387"/>
    <w:rsid w:val="005F3611"/>
    <w:rsid w:val="00602371"/>
    <w:rsid w:val="006068AA"/>
    <w:rsid w:val="00613699"/>
    <w:rsid w:val="00624541"/>
    <w:rsid w:val="0063422A"/>
    <w:rsid w:val="00643DAE"/>
    <w:rsid w:val="006566C5"/>
    <w:rsid w:val="00663F88"/>
    <w:rsid w:val="00674EA6"/>
    <w:rsid w:val="0068177A"/>
    <w:rsid w:val="00690681"/>
    <w:rsid w:val="006A6B57"/>
    <w:rsid w:val="006B20DF"/>
    <w:rsid w:val="006B6725"/>
    <w:rsid w:val="006C29F4"/>
    <w:rsid w:val="006D0D6D"/>
    <w:rsid w:val="006D616A"/>
    <w:rsid w:val="006D7CBA"/>
    <w:rsid w:val="006E5679"/>
    <w:rsid w:val="006F79C1"/>
    <w:rsid w:val="0071076E"/>
    <w:rsid w:val="00713732"/>
    <w:rsid w:val="0074694E"/>
    <w:rsid w:val="00755625"/>
    <w:rsid w:val="00757BCF"/>
    <w:rsid w:val="00775896"/>
    <w:rsid w:val="007C7780"/>
    <w:rsid w:val="007E11DB"/>
    <w:rsid w:val="007E277A"/>
    <w:rsid w:val="007E52AC"/>
    <w:rsid w:val="00801641"/>
    <w:rsid w:val="00802F2C"/>
    <w:rsid w:val="0081779A"/>
    <w:rsid w:val="00833091"/>
    <w:rsid w:val="00837ED1"/>
    <w:rsid w:val="0084025A"/>
    <w:rsid w:val="00844A96"/>
    <w:rsid w:val="0084662A"/>
    <w:rsid w:val="00864650"/>
    <w:rsid w:val="00866475"/>
    <w:rsid w:val="00880441"/>
    <w:rsid w:val="00885760"/>
    <w:rsid w:val="00891A82"/>
    <w:rsid w:val="008A182F"/>
    <w:rsid w:val="008A7A9C"/>
    <w:rsid w:val="008B6FE4"/>
    <w:rsid w:val="008C14BB"/>
    <w:rsid w:val="008C1B57"/>
    <w:rsid w:val="008C6D65"/>
    <w:rsid w:val="008F0641"/>
    <w:rsid w:val="00904742"/>
    <w:rsid w:val="009057A9"/>
    <w:rsid w:val="009244EE"/>
    <w:rsid w:val="00943345"/>
    <w:rsid w:val="00946D34"/>
    <w:rsid w:val="0096788B"/>
    <w:rsid w:val="00980433"/>
    <w:rsid w:val="009A4639"/>
    <w:rsid w:val="009B0BEF"/>
    <w:rsid w:val="009B3B81"/>
    <w:rsid w:val="009C6785"/>
    <w:rsid w:val="009D2BB1"/>
    <w:rsid w:val="009D5224"/>
    <w:rsid w:val="009E1D9C"/>
    <w:rsid w:val="009E6BC4"/>
    <w:rsid w:val="009E7916"/>
    <w:rsid w:val="009F52F5"/>
    <w:rsid w:val="00A06551"/>
    <w:rsid w:val="00A25AB7"/>
    <w:rsid w:val="00A2658B"/>
    <w:rsid w:val="00A50FB8"/>
    <w:rsid w:val="00A565A1"/>
    <w:rsid w:val="00A6693C"/>
    <w:rsid w:val="00A7255D"/>
    <w:rsid w:val="00AD2EE9"/>
    <w:rsid w:val="00AE0470"/>
    <w:rsid w:val="00AE1BC3"/>
    <w:rsid w:val="00AE770E"/>
    <w:rsid w:val="00B03A4C"/>
    <w:rsid w:val="00B11941"/>
    <w:rsid w:val="00B11B20"/>
    <w:rsid w:val="00B22DD2"/>
    <w:rsid w:val="00B25FBD"/>
    <w:rsid w:val="00B4249A"/>
    <w:rsid w:val="00B42FE5"/>
    <w:rsid w:val="00B5483F"/>
    <w:rsid w:val="00B572C5"/>
    <w:rsid w:val="00B6043B"/>
    <w:rsid w:val="00B726E6"/>
    <w:rsid w:val="00B74397"/>
    <w:rsid w:val="00B86EAF"/>
    <w:rsid w:val="00BB14C2"/>
    <w:rsid w:val="00BC3589"/>
    <w:rsid w:val="00BC3DC9"/>
    <w:rsid w:val="00BC475D"/>
    <w:rsid w:val="00BC6959"/>
    <w:rsid w:val="00BE1151"/>
    <w:rsid w:val="00BE2400"/>
    <w:rsid w:val="00BE628B"/>
    <w:rsid w:val="00BF2FBE"/>
    <w:rsid w:val="00C10C8A"/>
    <w:rsid w:val="00C129EC"/>
    <w:rsid w:val="00C13960"/>
    <w:rsid w:val="00C1554E"/>
    <w:rsid w:val="00C16711"/>
    <w:rsid w:val="00C24999"/>
    <w:rsid w:val="00C27BA8"/>
    <w:rsid w:val="00C36005"/>
    <w:rsid w:val="00C46A52"/>
    <w:rsid w:val="00C52947"/>
    <w:rsid w:val="00C538A0"/>
    <w:rsid w:val="00C63417"/>
    <w:rsid w:val="00C74547"/>
    <w:rsid w:val="00C813F9"/>
    <w:rsid w:val="00C81C5B"/>
    <w:rsid w:val="00C8401E"/>
    <w:rsid w:val="00C8464D"/>
    <w:rsid w:val="00C962ED"/>
    <w:rsid w:val="00CA0CDC"/>
    <w:rsid w:val="00CA61EE"/>
    <w:rsid w:val="00CC6611"/>
    <w:rsid w:val="00D168A1"/>
    <w:rsid w:val="00D45F79"/>
    <w:rsid w:val="00D53152"/>
    <w:rsid w:val="00D76C26"/>
    <w:rsid w:val="00D91C3D"/>
    <w:rsid w:val="00DC43CF"/>
    <w:rsid w:val="00DC5FDE"/>
    <w:rsid w:val="00DD7013"/>
    <w:rsid w:val="00DE6252"/>
    <w:rsid w:val="00DE76E8"/>
    <w:rsid w:val="00DF28EC"/>
    <w:rsid w:val="00E12B06"/>
    <w:rsid w:val="00E2039F"/>
    <w:rsid w:val="00E3205D"/>
    <w:rsid w:val="00E3299B"/>
    <w:rsid w:val="00E37B6D"/>
    <w:rsid w:val="00E44144"/>
    <w:rsid w:val="00E63BFA"/>
    <w:rsid w:val="00E94F40"/>
    <w:rsid w:val="00EB7DD1"/>
    <w:rsid w:val="00EC18ED"/>
    <w:rsid w:val="00F07EE8"/>
    <w:rsid w:val="00F34E82"/>
    <w:rsid w:val="00F40F79"/>
    <w:rsid w:val="00F57BB7"/>
    <w:rsid w:val="00F6180F"/>
    <w:rsid w:val="00F97046"/>
    <w:rsid w:val="00FA3AC0"/>
    <w:rsid w:val="00FB2972"/>
    <w:rsid w:val="00FC6E69"/>
    <w:rsid w:val="00FD7ADC"/>
    <w:rsid w:val="00FE64E4"/>
    <w:rsid w:val="00FF5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F515AC"/>
  <w15:docId w15:val="{8DB89355-7816-4885-9F2D-583EC2CF8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245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BC475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E4F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4F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2E22C0-91DC-42F8-BE80-82A0F2348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610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Gayane V. Meliksetyan</dc:creator>
  <cp:keywords>https:/mul2-mineconomy.gov.am/tasks/916699/oneclick?token=8237f349d65a4a8fbde161e37ffc9e63</cp:keywords>
  <dc:description/>
  <cp:lastModifiedBy>Anna I. Gharibjanyan</cp:lastModifiedBy>
  <cp:revision>2</cp:revision>
  <cp:lastPrinted>2023-11-13T09:04:00Z</cp:lastPrinted>
  <dcterms:created xsi:type="dcterms:W3CDTF">2025-11-26T08:00:00Z</dcterms:created>
  <dcterms:modified xsi:type="dcterms:W3CDTF">2025-11-26T08:00:00Z</dcterms:modified>
</cp:coreProperties>
</file>