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топлива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ՆԲԿ-ԷԱՃԱՊՁԲ-2026/13</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топлива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топлива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топлива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г/м³.
Массовая доля полициклических ароматических углеводородов не более 11%. Содержание серы не более 10 мг/кг.
Температура вспышки не ниже 55°C.
Коксуемость (коксование) в 10% осадке не более 0,3%. Вязкость при 400°C: от 2,0 до 4,5 мм²/с.
Температура помутнения не выше 5°C.
Отпускается по талонам (действительно только при покупке в литрах). Безопасность, маркировка и упаковка соответствуют Постановлению Правительства РА № 2004 г. «Технический регламент на топлива для двигателей внутреннего сгорания», утвержденному Постановлением N 1592-Н от 11 ноября 2018 года. Доставка: курьером. Радиус не более 10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