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ՀԱՊՀ-ԷԱԱՊՁԲ-25/46 ԾԱԾԿԱԳՐՈՎ ՀԱՇՎԵՍԱՐՔԵՐԻ ԵՎ ԴԱՍԱԳՐՔԵՐԻ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ՀԱՊՀ-ԷԱԱՊՁԲ-25/46 ԾԱԾԿԱԳՐՈՎ ՀԱՇՎԵՍԱՐՔԵՐԻ ԵՎ ԴԱՍԱԳՐՔԵՐԻ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ՀԱՊՀ-ԷԱԱՊՁԲ-25/46 ԾԱԾԿԱԳՐՈՎ ՀԱՇՎԵՍԱՐՔԵՐԻ ԵՎ ԴԱՍԱԳՐՔԵՐԻ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ՀԱՊՀ-ԷԱԱՊՁԲ-25/46 ԾԱԾԿԱԳՐՈՎ ՀԱՇՎԵՍԱՐՔԵՐԻ ԵՎ ԴԱՍԱԳՐՔԵՐԻ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վարժությունների թերթեր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ՀԱՇՎԵՍԱՐՔԵՐԻ ԵՎ ԴԱՍԱԳՐՔԵՐԻ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վարժությունների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վարժությունների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