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մարդատար մեքենայի ձեռքբերման նպատակով ԵՄ-ԷԱՃԱՊՁԲ-25/166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a.hovhannisyan@promotion.am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մարդատար մեքենայի ձեռքբերման նպատակով ԵՄ-ԷԱՃԱՊՁԲ-25/166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մարդատար մեքենայի ձեռքբերման նպատակով ԵՄ-ԷԱՃԱՊՁԲ-25/166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a.hovhannisyan@promotion.am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մարդատար մեքենայի ձեռքբերման նպատակով ԵՄ-ԷԱՃԱՊՁԲ-25/166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1825 օրացուցային օրը կամ 200,000.00 կմ: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 2025թ.
Շարժիչ՝ առնվազն 2.3լ turbo բենզինային առնվազն 245 ձ/ուժ
Պտտող մոմենտ՝ առնվազն 400 ն/մ
Երկ/լայն/բարձր.՝ առնվազն 5535*2055*1920
Բեռնախցիկ՝ առնվազն 1546*1595*546
Բեռնատարողությունը՝ առնվազն 900կգ
Փոխանցման տուփը ավտոմատ 8 աստիճան
Վառելիքի բաքի տարողություն՝ը առնվազն 80 լ
ABS, EBD, ESP, TCS, BA արգելակային համակարգեր
Ավտոմեքենայի շրջվելը կանխող համակարգ
Անվտանգության 2 բարձիկներ
Բորտ համակարգիչ
TFT դիսփլեյ
Հետևի տեսախցիկ
Դիմացի և հետևի կայանման սենսորներ
Կրուիզ կոնտրոլ համակարգ
Կոնդիցիոներ
Bluetooth համակարգ, carplay, android auto
Լուսարձակների և անձրևաթարթիչների ավտոմատ միացման համակարգ
Հակամառախուղային լույսեր
Ձուլած անվահեծեր 285/70/17 դյույմ
Երաշխիքային ժամկետ է սահմանվում առնվազն 5 տարի կամ 200.000 կմ (ըստ առաջնահերթության):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