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KSHMP-EAAPDzB-26/02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KSHMP-EAAPDzB-26/01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KSHMP-EAAPDzB-26/01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Легкий грузовик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381.19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4.8908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443.21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2025.12.18.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Легкий грузовик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Год выпуска: 2024 год и выше
Пробег: Не более 500 км
Привод: Задний (RWD),
Объем двигателя: Не менее 1950 см³,
Мощность двигателя: Не менее 84 кВт / 114 л.с.,
Максимальный крутящий момент при 1400 об/мин: 300 Н·м,
Рулевое управление: Левое,
Масса: Передняя ось: Не менее 1307 кг,
Задняя ось: Не менее 956 кг,
Полная масса: Не менее 2263 кг,
Максимально допустимое распределение массы: Передняя ось: Не менее 1860 кг,
Задняя ось: Не менее 2250 кг,
Нагрузка на заднюю ось: Не менее 1237 кг,
Допустимая полная масса автомобиля: Не менее 3500 кг,
Габаритная длина: Не менее 5932 мм,
Колесная база: не менее 3665 мм,
Световой пучок (в самой нижней точке): не менее 188 мм,
Высота: не менее 2707 мм, Ширина с наружными зеркалами: не менее 2345 мм,
Ширина без зеркал: не менее 2020 мм,
Высота грузового отсека: не менее 2009 мм,
Длина грузового отсека: не менее 3272 мм,
Угол передней подвески: не менее 18,4°,
Угол задней подвески: не менее 21,1°,
Угол рампы: не менее 17,4°,
Ширина внешней колесной арки: не менее 920 мм. Автомобиль должен иметь следующее техническое описание:
• Цвет: Arctic White
• Топливный фильтр с водоотделителем
• Пакет шумоизоляции
• Отделка салона тканью Maturin
• Стальные диски: 6.5 J x 16
• Размер шин: 235/65 R16 C
• Крепление запасного колеса за задней осью (под аркой заднего колеса)
• Запасное колесо
• 6-ступенчатая механическая коробка передач
• Дополнительный усилитель передней оси
• Теплоизоляция со светопоглощающей полосой на лобовом стекле
• Правая сдвижная дверь
• Задняя складная дверь, открывающаяся на 270°
• Продольные усилители кузова
• Задний фаркоп
• Регулируемый кондиционер
• Продольная полка под лобовым стеклом
• Вещевой отсек под передней панелью
• Регулировка рулевой колонки в двух направлениях
• Полная перегородка
• Ручка доступа водителя и пассажира
• Ручка доступа сдвижной двери
• Внутренняя ручка на правой стойке
• Корпус кабеля питания на боковой стенке
• Корпус кабеля питания на задней стенке
• Аудиосистема и видеосистема
• Система активного экстренного торможения
• Датчик ремня безопасности пассажира
• Датчик видимости
• Круиз-контроль
• Подушка безопасности водителя
• Подушка безопасности переднего пассажира
• Многофункциональное рулевое колесо
• Система помощи при трогании с места
• USB-разъем 5 В
• Разъем для подключения дополнительного аккумулятора
• Камера заднего вида
• Спидометр, км
• Датчик наружной температуры
• Гидравлический домкрат
• Аккумулятор для экстремальных условий 12 В 70 А·ч
• Электронное руководство по эксплуатации
• Система подвески для плохих дорог.
Гарантийный и послегарантийный период обслуживания 2 года, без ограничения пробега.
1. Изделие не должно быть в эксплуатации, не подвергалось ремонту, замене или реставрации, не должно находиться под залогом, залогом или иным обременением.
2. Изделие не должно иметь следов механических повреждений, а также иных несоответствий официальному описанию поставляемого товара.
3. Компания обязуется проводить соответствующее обучение мастеров авторемонта, знакомя их с профессиональными инструкциями, необходимыми для проведения ремонта.
4. Поставщик должен иметь официальное представительство и официальный сервисный центр в г. Ереван.
5. Поставщик должен предоставить информацию об условиях эксплуатации поставляемой продукции (включая тип и характеристики масел, используемых для двигателя и гидравлической системы автомобиля в зимний и летний периоды), а также об условиях хранения.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Арцах 2-й переулок, дом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120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