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Արարատի մարզ, Մասիսի համայնքապետարան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Արարատի մարզ     քաղաք  Մասիս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организации банкетов и фуршетов для нужд общины Масис Араратской области Республики Армения в 2026 году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16:00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16:00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Ռուշանյան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masismer.gnumner@mail.ru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0236-4-20-20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Արարատի մարզ, Մասիսի համայնքապետարան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ԱՄՄՀ-ԷԱՃԾՁԲ-26/14</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Արարատի մարզ, Մասիսի համայնքապետարան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Արարատի մարզ, Մասիսի համայնքապետարան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организации банкетов и фуршетов для нужд общины Масис Араратской области Республики Армения в 2026 году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организации банкетов и фуршетов для нужд общины Масис Араратской области Республики Армения в 2026 году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Արարատի մարզ, Մասիսի համայնքապետարան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masismer.gnumner@mail.ru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организации банкетов и фуршетов для нужд общины Масис Араратской области Республики Армения в 2026 году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банкетов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2025.12.15.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ԱՄՄՀ-ԷԱՃԾՁԲ-26/14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"ԱՄՄՀ-ԷԱՃԾՁԲ-26/14"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ԱՄՄՀ-ԷԱՃԾՁԲ-26/14*.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"ԱՄՄՀ-ԷԱՃԾՁԲ-26/14"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ԱՄՄՀ-ԷԱՃԾՁԲ-26/14*.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ԱՄՄՀ-ԷԱՃԾՁԲ-26/14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банкетов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 образец формы декларации о бенефициарных владельцах представлены в прикрепленном файле.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