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ԱՍՀՆ-ՊՈԱԿ-ԷԱՃԱՊՁԲ-26/6-Լ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«Լոռու մարզի երեխայի և ընտանիքի աջակցության կենտրոն» ՊՈԱԿ-ի 2026թ. կարիքների համար սանիտարահիգիենիկ պարագաների, մաքրիչ նյութերի և սպասքի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ԱՍՀՆ-ՊՈԱԿ-ԷԱՃԱՊՁԲ-26/6-Լ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«Լոռու մարզի երեխայի և ընտանիքի աջակցության կենտրոն» ՊՈԱԿ-ի 2026թ. կարիքների համար սանիտարահիգիենիկ պարագաների, մաքրիչ նյութերի և սպասքի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«Լոռու մարզի երեխայի և ընտանիքի աջակցության կենտրոն» ՊՈԱԿ-ի 2026թ. կարիքների համար սանիտարահիգիենիկ պարագաների, մաքրիչ նյութերի և սպասքի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ԱՍՀՆ-ՊՈԱԿ-ԷԱՃԱՊՁԲ-26/6-Լ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«Լոռու մարզի երեխայի և ընտանիքի աջակցության կենտրոն» ՊՈԱԿ-ի 2026թ. կարիքների համար սանիտարահիգիենիկ պարագաների, մաքրիչ նյութերի և սպասքի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լվացքի մեքենաների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Խողովակները և կոյուղի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 մանրահատակի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ԱՍՀՆ-ՊՈԱԿ-ԷԱՃԱՊՁԲ-26/6-Լ</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ԱՍՀՆ-ՊՈԱԿ-ԷԱՃԱՊՁԲ-26/6-Լ</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«ԱՍՀՆ-ՊՈԱԿ-ԷԱՃԱՊՁԲ-26/6-Լ»*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ԱՍՀՆ-ՊՈԱԿ-ԷԱՃԱՊՁԲ-26/6-Լ*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«ԱՍՀՆ-ՊՈԱԿ-ԷԱՃԱՊՁԲ-26/6-Լ»*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ԱՍՀՆ-ՊՈԱԿ-ԷԱՃԱՊՁԲ-26/6-Լ*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«ԼՈՌՈՒ ՄԱՐԶԻ ԵՐԵԽԱՅԻ ԵՎ ԸՆՏԱՆԻՔԻ ԱՋԱԿՑՈՒԹՅԱՆ ԿԵՆՏՐՈՆ» ՊՈԱԿ-ի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«Լոռու մարզի երեխայի և ընտանիքի աջակցության կենտրոն» ՊՈԱԿ-ին: Վաճառողի կողմից անհրաժեշտ կատարողական փաստաթղթերի դուրսգրման դեպքում հիմք են ընդունվում հետևյալ վավերապայմանները՝ «Լոռու մարզի երեխայի և ընտանիքի աջակցության կենտրոն» ՊՈԱԿ-ին (ք. Վանաձոր, Տարոն-4 ՄՄՇ թիվ 23, ՀՎՀՀ` 06910273, ՀՀ ՖՆ գործառնական վարչություն Հ/Հ` 900238000583): Գնման ընթացակարգի արդյունքում կնքված պայմանագրի շրջանակներում հանձնման-ընդունման գործընթացն իրականացվելու է թղթային եղանակով։
Ներկայացված են առավելագույն քանակները, դրանք ենթակա են փոփոխման (նվազեցման): Մատակարարումը ըստ պատվիրատուի պահանջի (գնման հայտի հիման վրա)</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լվացքի մեքենաների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Խողովակները և կոյուղի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 մանրահատակի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համաձայնագիրը կնքելուց հետո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