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ԷԱՃԱՊՁԲ-Ա-8/2026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Асатур Абасян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ԷԱՃԱՊՁԲ-Ա-8/2026</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ԷԱՃԱՊՁԲ-Ա-8/2026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ԷԱՃԱՊՁԲ-Ա-8/2026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ԷԱՃԱՊՁԲ-Ա-8/2026"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ԷԱՃԱՊՁԲ-Ա-8/2026*.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ԷԱՃԱՊՁԲ-Ա-8/2026"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ԷԱՃԱՊՁԲ-Ա-8/2026*.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ԷԱՃԱՊՁԲ-Ա-8/2026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зимней эксплуатации высокооборотных дизелей.
по ГОСТ-32511-2013 класс: 2
- предельная температура фильтрации не выше -32ºС,
- температура помутнения не выше -22ºС,
- плотность при 15 ºC от 800 до 840 кг/м3,
- вязкость при 40ºC: 1,5-4 мм2/с,
- цетановое число не менее 48,
- цетановый индекс: не менее 46,
- фракционный состав: не более 10% перегоняется при 180ºС, не менее 90% перегоняется при 360ºС,
- температура воспламенения: не менее 40ºС,
Экологический класс К5 по ММРТ-013/2011 (технический регламент Таможенного союза)
- массовая доля серы - не более 10 мг/кг.
На момент поставки остаток гарантийного срока хранения составляет не менее 80%.
 Маркировка и упаковка согласно «Техническому регламенту моторных топлив внутреннего сгорания», утвержденному Постановлением Правительства РА № 1592-Н от 11 ноября 2004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A.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За 3-й квартал  7500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