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22 դպրոցների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22 դպրոցների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22 դպրոցների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22 դպրոցների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 Մետաղական հիմքով, բարձրացվող իջեցվող համակարգով, հակակշռով, ձողի հետնամասում ամրացվում է արկղ համապատասխան ծանրություն ապահովելու համար: Առկա է անիվներ տեղափոխման համար: Առկա է կեռիկներ: Սյունները՝ մետաղական, հաստությունը՝ 1.5-2մմ: Կարգավորվող ցանցի լարման բարձրությունը հատակից առավելագույնը 2550 մմ: Մեկ սյան քաշը հակակշռով առնվազն 75կգ: Հավաքածուն ներառում է 2 սյուն և վոլեյբոլի ցանց: Վոլեյբոլի ցանցը՝ շարժական: Պոլիամիդային ճոպան/պարան տրամագիծը՝ 6մմ անցնում է ցանցի վերևի և ներքևի երկայնքով, Չափսը՝ 1000մմ x 10000մմ: Գույնը՝ սև/սպիտակ: Բջիջի չափսերը՝ 100X100մմ: Թելի տրամագիծը՝ 2,6մմ: Նյութը՝ նեյլոն/պոլիպրոպիլեն: Կապիչներ՝ 4 անկյուններում: Վերևի երիզ՝ 70մմ: Ներքևի և կողային երիզ` 50մմ: Նմուշը /նկար 1, 2/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3/ կցվում է: Վոլեյբոլի գնդակ – MIKASA ֆիրմայի V200W մոդել (արտադրողը՝  MIKASA Corporation) կամ համարժեքը համարվող MIKASA ֆիրմայի MVA200 մոդել (արտադրողը՝  MIKASA Corporation), Tachikara ֆիրմայի SV5WSC մոդել (արտադրողը՝  Tachikara):Պայմանագրի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