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топлива на первый квартал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Варданян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топлива на первый квартал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топлива на первый квартал 2026 года</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топлива на первый квартал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марта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Нечетное число определяется методом исследования, не менее 91. Не менее 81 автомобиля. Содержание свинца не превышает 5 мг / дм3. Плотность при температуре 15 0 С составляет 720-775 кг / м 3. Содержание серы не более 10 мг / кг. Объемная доля углеводов не более ароматических - 21%, олефинов - 21%, углекислого газа - не более 1%. Массовая доля кислорода - не более 2,7%. Содержание щавелевой кислоты в оксидах - 3%, этаноле - 5%, изопропиловом спирте - 10%, изобутиловом спирте - 10%, триабутиловом спирте - 7%, эфире (C5 и выше) - 15%, других оксидах - , Безопасность, маркировка и упаковка утвержденный Решением N 1592-N от Правительства РА  11 ноября  2004 года. «Технический регламент на топливо для двигателей внутреннего сгорания», Поставка, купон. Купоны должны быть новыми, неиспользованными.Купоны должны быть новыми, неиспользованными.Талоны поставщика на бензин необходимо погашать на заправочных станциях, расположенных во всех городах республики.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