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ՀՓ-ԷԱՃԾՁԲ-26/28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ՀԱՅՓՈՍՏ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0002, Սարյան 22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«Հայփոստ» ՓԲԸ-ի 2026թ. համար տպագրական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Ղազարյան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095146243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gnumner@haypost.am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ՀԱՅՓՈՍՏ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ՀՓ-ԷԱՃԾՁԲ-26/28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ՀԱՅՓՈՍՏ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ՀԱՅՓՈՍՏ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«Հայփոստ» ՓԲԸ-ի 2026թ. համար տպագրական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ՀԱՅՓՈՍՏ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«Հայփոստ» ՓԲԸ-ի 2026թ. համար տպագրական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ՀՓ-ԷԱՃԾՁԲ-26/28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gnumner@haypost.am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«Հայփոստ» ՓԲԸ-ի 2026թ. համար տպագրական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5</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(Լյուքս) բուկլետի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(Լյուքս) բուկլետի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(Լյուքս) Ստվարաթղթե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նամականիշերի բուկլետ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«Տիեզերք» բուկլետ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381.14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4.9377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444.68</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2025.12.16.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ՀՓ-ԷԱՃԾՁԲ-26/28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ՀԱՅՓՈՍՏ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ՀՓ-ԷԱՃԾՁԲ-26/28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«ՀՓ-ԷԱՃԾՁԲ-26/28»*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ՀՓ-ԷԱՃԾՁԲ-26/28*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«ՀՓ-ԷԱՃԾՁԲ-26/28»*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ՀՓ-ԷԱՃԾՁԲ-26/28*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Հայփոստ ՓԲԸ 2026թ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վճարումը կատարվելու է համաձայն կնքված համաձայնագրի վճարման ժամանակացույցի:</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(Լյուքս) բուկլետի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667,0 x 230,0 մմ - բացված վիճակում, քառափեղկ, 3 հատ բիգովկա դեպի ներս, թղթի հաստությունը՝ 150 գ/մ2, թղթի տեսակը՝ Plike, 2մմ հաստությամբ կարտոն, կապույտ (գույնը համաձայնեցնել պատվիրատուի հետ), արծաթափայլ գրվածք և նախշ: Պատվիրատուին տրամադրել նմուշ հաստատման համար:Հաշվի առնելով տպագրվող ապրանքների վրա օգտագործվող տարրերի և էֆեկտների յուրահատուկ լինելը, որոնք բավականաչափ չեն փոխանցվում կից լուսանկարների միջոցով, քանի որ ավելի շատ շոշափելի են, ցանկալի է, որ մասնակիցները ծանոթանան իրական նմուշի հետ մինչ մրցույթին դիմելը: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(Լյուքս) բուկլետի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Չափսը՝ 195,0 x 255,0 մմ, 8 հատ բիգովկա դեպի ներս, թղթի հաստությունը՝ 150 գ/մ2, թղթի  տեսակը՝ Plike, 2մմ հաստությամբ կարտոն, կապույտ (գույնը համաձայնեցնել պատվիրատուի հետ), արծաթափայլ գրվածք և նախշ,  մագնիս, ներսից ժապավեն: Պատվիրատուին տրամադրել նմուշ հաստատման համար:
Հաշվի առնելով տպագրվող ապրանքների վրա օգտագործվող տարրերի և էֆեկտների յուրահատուկ լինելը, որոնք բավականաչափ չեն փոխանցվում կից լուսանկարների միջոցով, քանի որ ավելի շատ շոշափելի են, ցանկալի է, որ մասնակիցները ծանոթանան իրական նմուշի հետ մինչ մրցույթին դիմելը: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(Լյուքս) Ստվարաթղթե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200,0 x 260,0 մմ, թղթի հաստությունը՝ 250-300 գ/մ2, թղթի  տեսակը՝ Plike, կապույտ (գույնը համաձայնեցնել պատվիրատուի հետ), UV լաք նախշ, արծաթափայլ գրվածք, 2 հատ բաց արծաթագույն ոլորված պարան: Պատվիրատուին տրամադրել նմուշ հաստատման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նամականիշերի բուկլետ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660,0 x 230,0 մմ - բացված վիճակում, քառափեղկ, դրսի մասից փայլուն լամինացիա, 4+0 տպագրություն, 3 հատ բիգովկա դեպի ներս, թղթի հաստությունը՝ 350 գ/մ2: Պատվիրատուին տրամադրել նմուշ հաստատման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«Տիեզերք» բուկլետ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370,0 x 230,0 մմ - բացված վիճակում, թղթի հաստությունը՝ 150գ/մ2, տպագրություն՝ 2 կողմ, դրսի մասից թավշյա լամինացիա, դիմային հատվածը տեղային ոսկե ուռուցիկ UV varnish վրայից silver holographic foil էֆեկտով գրվածքները և մի քանի դետալներ, 2 մմ կարտոնապատ, 2 ծալքով, 4 հատ մագնիս: Տրամադրել տպագրված ծրարի նմուշ՝ նախապես համաձայնեցնելով այն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փ.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փ.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փ.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փ.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փ.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