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ԾՔ-ԷԱՃԱՊՁԲ-25/16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Ծաղկաձորի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ք.Ծաղկաձոր,Օրբելի եղբայրների 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Ծաղկաձորի համայնքապետարանի կարիքների համար «ԾՔ-ԷԱՃԱՊՁԲ-25/16» ծածկագրով էլեկտրոնային աճուրդի ընթացակարգով «Սեղանի Օրացույցների»-ի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Մխիթարյան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060680251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mkhitaryannarine2@gmail.com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Ծաղկաձորի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ԾՔ-ԷԱՃԱՊՁԲ-25/16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Ծաղկաձորի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Ծաղկաձորի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Ծաղկաձորի համայնքապետարանի կարիքների համար «ԾՔ-ԷԱՃԱՊՁԲ-25/16» ծածկագրով էլեկտրոնային աճուրդի ընթացակարգով «Սեղանի Օրացույցների»-ի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Ծաղկաձորի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Ծաղկաձորի համայնքապետարանի կարիքների համար «ԾՔ-ԷԱՃԱՊՁԲ-25/16» ծածկագրով էլեկտրոնային աճուրդի ընթացակարգով «Սեղանի Օրացույցների»-ի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ԾՔ-ԷԱՃԱՊՁԲ-25/16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mkhitaryannarine2@gmail.com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Ծաղկաձորի համայնքապետարանի կարիքների համար «ԾՔ-ԷԱՃԱՊՁԲ-25/16» ծածկագրով էլեկտրոնային աճուրդի ընթացակարգով «Սեղանի Օրացույցների»-ի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սեղանի175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2025.12.17.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Ծաղկաձորի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ԾՔ-ԷԱՃԱՊՁԲ-25/16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ԾՔ-ԷԱՃԱՊՁԲ-25/16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«ԾՔ-ԷԱՃԱՊՁԲ-25/16»*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Ծաղկաձորի համայնքապետարան*  (այսուհետ` Պատվիրատու) կողմից կազմակերպված` ԾՔ-ԷԱՃԱՊՁԲ-25/16*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Ծաղկաձորի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«ԾՔ-ԷԱՃԱՊՁԲ-25/16»*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Ծաղկաձորի համայնքապետարան*  (այսուհետ` Պատվիրատու) կողմից կազմակերպված` ԾՔ-ԷԱՃԱՊՁԲ-25/16*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Ծաղկաձորի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ԾԱՂԿԱՁՈՐԻ ՀԱՄԱՅՆՔԱՊԵՏԱՐԱՆԻ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hամար նախատեսված սեղանի օրացույցներ: Չափսերը՝ 21սմ*15սմ: Թուղթը՝ կավճապատ: Գունավոր տպագրությամբ: Սեղանի վրա տեղադրելու հնարավորությամբ: Ընդհանուր առմամբ 14 էջից բաղկացած,թերթովի: Վերևի հատվածը ամրացված լինի զսպանակաձև ամրակով: Յուրաքանչյուր էջի առաջին մասը բաժանված լինի 2 մասի,ձախ կողմում՝ Ծաղկաձոր համայնքի տեսարան,գեղեցիկ շրջանակով,քաղաքի գերբը և համայնքային կայքի հասցեն: Աջ կողմում՝ տվյալ ամսվա օրացույցը՝ հայերեն և անգլերեն լեզուներով: Էջի ետևի կողմում լինեն քաղաքի գեղեցիկ տեսարաններ՝ գերբով և համայնքային կայքի  հասցեով: Տոնական, հիշատակի և հանգստյան օրերը հաստացումով (համաձայնեցմամբ)Նկարները  կտրամադրվեն պատվիրատուի կողմից: Օրացույցի վերջին էջին լինի 2027թ. ընդհանուր օրացույցը: Ապրանքը պետք է լինի՝ նոր (չօգտագործված): Ապրանքի մատակարարումն իրականացվում է մասնակցի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Ծաղկաձոր համայնք, Օրբելի Եղբայրներ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