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ԹԲԿ-ԷԱՃԱՊՁԲ-2026/9</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 2026</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5.12</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 бензола
фракция не более 1%, плотность при 15°С от 720 до 775 кг/м3, содержание серы не более 10 мг/кг,
массовая доля кислорода - не более 2,7 %, объемная доля окислителей - не более метанола - 3 %, этанола - 5 %, изопропилового спирта -
10%, изобутиловый спирт-10%, тербутиловый спирт-7%, эфиры (С5 и более)-15%, другие окислители-10%, безопасность, маркировка и
упаковка согласно Постановлению Правительства РА 2004 г. «Двигатель внутреннего сгорания», утвержденному постановлением № 1592 от 11 ноября.
Технического регламента на топливо» Условия поставки продукции – заполнение талонов.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