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^tender:code^</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^tender:code^</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^end_bid_day^</w:t>
      </w:r>
      <w:r w:rsidRPr="00857ECA">
        <w:rPr>
          <w:rFonts w:ascii="Calibri" w:hAnsi="Calibri" w:cs="Calibri"/>
          <w:szCs w:val="24"/>
          <w:lang w:val="hy-AM"/>
        </w:rPr>
        <w:t>»րդ օրվա ժամը «</w:t>
      </w:r>
      <w:r w:rsidRPr="00857ECA">
        <w:rPr>
          <w:rFonts w:asciiTheme="minorHAnsi" w:hAnsiTheme="minorHAnsi" w:cstheme="minorHAnsi"/>
          <w:szCs w:val="24"/>
        </w:rPr>
        <w:t>^end_bid_hour^</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^rate_usd^</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 xml:space="preserve"> ^rate_rur^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 xml:space="preserve"> ^rate_eur^ </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^inactivity_day^</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^working_day^</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 xml:space="preserve">^tender:code^ </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^tender:code^</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^havelvac_1^</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^havelvac_2_3^</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^havelvac_3_1^</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^havelvac_3_2^</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^havelvac_3_3^</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^havelvac_3_4^</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^havelvac_3_5^</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^havelvac_3_6^</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^havelvac_3_8^</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^havelvac_3_9^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^havelvac_3_10^</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^havelvac_3_11^</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^havelvac_3_12^</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^havelvac_3_13^</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^havelvac_3_14^ ^havelvac_3_15^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^havelvac_3_16^</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^havelvac_3_17^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^havelvac_3_18^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^havelvac_3_19^</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^havelvac_3_20^</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^havelvac_3_21^</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^havelvac_3_22^</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^havelvac_3_23^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^havelvac_3_24^</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^havelvac_3_25^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^havelvac_3_26^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^havelvac_3_27^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^havelvac_3_28^</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^havelvac_3_28_1^</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^havelvac_3_28_2^</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^havelvac_3_29^</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^havelvac_3_30^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^havelvac_3_31^</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^havelvac_3_32^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^havelvac_3_33^</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^havelvac_3_33_link^</w:t>
        </w:r>
      </w:hyperlink>
      <w:r w:rsidRPr="00857ECA">
        <w:rPr>
          <w:rFonts w:ascii="Calibri" w:hAnsi="Calibri" w:cs="Calibri"/>
          <w:color w:val="000000"/>
          <w:sz w:val="20"/>
          <w:szCs w:val="20"/>
        </w:rPr>
        <w:t xml:space="preserve">  ^havelvac_3_33_2^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^havelvac_3_34^</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^havelvac_3_35^</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^havelvac_3_36^</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^havelvac_3_37^</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^havelvac_3_38^</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^havelvac_3_39^</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^havelvac_3_40^</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^havelvac_3_41^</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^havelvac_3_42^</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^havelvac_3_43^</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^havelvac_3_44^</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^havelvac_3.1_1^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^havelvac_3.1_2^</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^havelvac_3.1_3^</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^havelvac_3.1_4^</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^havelvac_3.1_5^</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^havelvac_3.1_6^</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^havelvac_3.1_7^</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^havelvac_3.1_8^</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^havelvac_3.1_9^</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^havelvac_3.1_10^</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^havelvac_3.1_11^</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^havelvac_3.1_12^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^havelvac_3.1_13^</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^havelvac_3.1_14^</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^havelvac_3.1_15^ ^havelvac_3.1_16^</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^havelvac_3.1_17^</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^havelvac_3.1_18^</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^havelvac_3.1_19^</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^havelvac_3.1_20^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^havelvac_3.1_21^</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^havelvac_3.1_22^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^havelvac_3.1_23^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^havelvac_3.1_24^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^havelvac_3.1_25^</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^havelvac_3.1_25_line^</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^havelvac_3.1_25_foot^</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^havelvac_3.1_25_1^</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^havelvac_3.1_26^</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^havelvac_3.1_27^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^havelvac_3.1_28^</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^havelvac_3.1_28_1^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^havelvac_3.1_28_2^ </w:t>
      </w:r>
      <w:hyperlink r:id="rId17" w:history="1">
        <w:r>
          <w:rPr>
            <w:rStyle w:val="Hyperlink"/>
            <w:rFonts w:ascii="Calibri" w:hAnsi="Calibri" w:cs="Calibri"/>
            <w:sz w:val="20"/>
            <w:szCs w:val="20"/>
            <w:lang w:val="hy-AM"/>
          </w:rPr>
          <w:t>^havelvac_3.1_29_link^</w:t>
        </w:r>
      </w:hyperlink>
      <w:r>
        <w:rPr>
          <w:rFonts w:ascii="Calibri" w:hAnsi="Calibri" w:cs="Calibri"/>
          <w:sz w:val="20"/>
          <w:szCs w:val="20"/>
          <w:lang w:val="hy-AM"/>
        </w:rPr>
        <w:t xml:space="preserve"> ^havelvac_3.1_30^</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^havelvac_3.1_32^</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^havelvac_3.1_33^</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^havelvac_3.1_34^</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^havelvac_3.1_35^</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^havelvac_3.1_36^</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^havelvac_3.1_37^</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^havelvac_3.1_38^</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^havelvac_3.1_39^</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^havelvac_3.1_40^</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^havelvac_3.1_41^</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^havelvac_3.1_42^</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^havelvac_3.2_1^</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^havelvac_3.2_7^</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^havelvac_3.2_10^</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^havelvac_3.2_25^</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^havelvac_3.2_39^</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^havelvac_4.1_44^</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^havelvac_3.2_42^</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 xml:space="preserve">^tender:code^ </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^havelvac_4.1_1^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^havelvac_4.1_7^</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^havelvac_4.1_24^</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^havelvac_4.1_25^</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^havelvac_4.1_43^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^havelvac_4.1_44^</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^havelvac_4.1_47^</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^havelvac_4.2_5^</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^without_prepayment^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ավտոբուսները պետք է համապատասխանեն  Հայաստանի Հանրապետության օրենսդրությամբ և Հայաստանի Հանրապետության կողմից ստանձնած միջազգային համաձայնագրերով սահմանված  տեխնիկական պահանջներին և չափանիշներին։
.Ավտոբուսները պետք է լինեն 2026 թվականից ոչ հին արտադրության։ Ավտոբուսները պատվիրատուին հանձնման ժամանակ պետք է շահագործված չլինեն։ Ավտոբուսների վազքը պատվիրատուին հանձման ժամանակ պետք է լինի գործարանային  (ներառյալ՝ փորձարկման համար թույլատրելի սահմանները)։ Ավտոբուսների ինքնափոխադրման դեպքում՝ վազքը չպետք է գերազանցի ամենակարճ երթուղով հաշվարկված հեռավորությունը  (ինքնափոխադրման պայմանները պետք է նախապես համաձայնեցված լինի պատվիրատուի հետ)։
Երկ՝ 8,6-8,7 մ     Լայն՝ 2,6 ոչ պակաս հայելիները ներառյալ    Բարձր՝ 1,9-1,96 մ:
.Դասը՝ քաղաքային նշանակության, միջին տեղատարողությամբ, էլեկտրական շարժիչով շահագործվող, 4*2 անվային բանաձևով, ետևի տանող կամրջակով։
.Ընդհանուր տեղատարողությունը՝ նվազագույնը 20 նստատեղ՝(ներառյալ  ծալովի նստատեղերը) + 1 վարորդի նստատեղ և 1 անվասայլակ ուղևոր փոխադրելու հնարավորություն։Նստատեղերի դասավորվածությունը պետք է համաձայնեցվի պատվիրատուի հետ։
․Թափքը՝շրջանակային տիպի,վագոնային հարմարադասմամբ,ամբողջական մետաղյա,հակակոռոզիոն պաշտպանվածությամբ,պետք է լինի նստեցման ցածր տեղաշարժմամբ մուտքով, արտաքին գունավորումը և գրառումները պետք է նախապես համաձայնեցվի պատվիրատուի հետ։ 
․Ավտոբուսի դռները՝ուղևորի նստեցման և իջեցման համար նախատեսված վարորդի կողմից էլեկտրահաղորդակի միջոցով հեռակառավարվող,երկու պնևմատիկ դռների առկայությամբ՝որոնցից մեկը՝երկփեղկանի,հաշմանդամության սայլակի մուտքը ուղևորասրահ բավարարող լայնությամբ (ավտոբուսները պետք է համապատասխանեն ԳՕՍՏ 30478-96 ստանդարտի պահանջներին (հաշմանդամություն ունեցող անձանց փոխադրման համար նախատեսված ավտոտրանսպորտային կառուցվածքին,կահավորանքին և այլ պարամետրերին ներկայացվող պահանջները)՝ապհովեն տեղաշարժվելու, տեսողության և լսողության խնդիրներ ունեցող անձանց համար մատչելի փոխադրումը)։ Ավտոբուսները պետք է ապահոված լինեն թեքահարտակով (հենաշարժողական խնդիրներ ունեցող քաղաքացիների ավտոբուս նստեցման-իջեցման համար նախատեսված )։ Թեքահարթակը պետք է տեղադրված լինի ետևի դռան մուտքում։
․Նվազագույն արագությունը՝69 կմ/ժ։
․Հետևի տեսադաշտի հայելիները՝ հետին տեսանելիության էլեկտրական տաքացվող հայելիների առկայությամբ։
․Ուղևորասրահը՝ նստարանները կայուն և կոշտ ամրացմաբ, անվասայլակի տեղ (պետք է ապահովվեն հաշմանդամության սայլակների տեղակայման համապատասխան մակերես )՝ անվտանգության էլեմենտներով կահավորված  (պետք է պարունակեն ամրացման հարմարանքներ), հաշմանդամություն ունեցող անձանց համար նախատեսված  նստատեղեր կահավորված՝ ցուցանակներով, հաշմանդամություն ունեցող անձանց նստատեղերի և հաշմանդամության սայլակի հարևանությամբ կանգառի կանչի կոճակի ու հարմարեցված  բռնակների  (նաև կանգնած ուղևորների համար) առկայություն, անվասայլակի հետին պատը զուգակցված ծալովի նստատեղերով, դեղատուփի և առնվազն երկու կրակմարիչների, վթարային ամրակապված մուրճերի առկայություն, վարորդի նստատեղը՝ կարգավորող և 3 կետանի ամրագոտով, վարորդի և ուղևորասրահի միջև միջնապատի, վարորդի խցիկում՝ ուղևորասրահի դիտարկման  հայելու և դիմապակու լուսաքողարկիչի առկայություն։
․Ջեռուցում և օդորակում՝ ուղևորասրահում ջեռուցման  և օդորակման համակարգերի առկայություն, նշված համակարգերը պետք է նախատեսված լինի -40-ից +40 ջերմաստիճանային պայմանների համար:
.Ուղեսրահի հատակը՝ ջրակայուն, դիմանա եղանակային բոլոր պայմաններին, լինի հեշտ մաքրվող։
.Շարժիչը՝ էլոկտրական,հզորություն(գագաթնակետային/ շարունակական) ոչ պակաս՝ 240 կ Վ տ /կՎտ, լիթյումի իոնային մարտկոցներ, մարտկոցներում էներգիայի պարունակությունը՝ նվազագույնը՝ 220կՎտժ, մեկ ամբողջական լիցքավորմամբ ավտոբուսը պետք է շահագործվի առնվազն 200կմ։
.Լիցքավորումը՝ Եվրոպական ստանդարտի միակցիչ, նախատեսված՝ ձեռքով միացման համար, հզորությանն համապատասխան լիցքավորման կայանների առկայությամբ: 
.Կախոցի համակարգը՝ առջևի և  ետևի կամրջակների վրա՝ պնևմատիկ տեսակի 2/4, առջևի անկախ կախողներ և ցածր մուտք կամրջակ, երկկողմանի գործողությամբ 2/4 մեղմիչների առկայությամբ։
. Արգելակային համակարգը՝  արգելակային հակաբլոկավորման համակարգ( ABS), CBS+ IRBS:
.Անվադողերը՝ օդաճնշումային, անխուց, ետևի անիվները՝ զույգ (երկշարք) չափսերը՝ գործարանային։
.Ղեկային կառավարման համակարգը՝ ձախակողմյան տեղաբաշխմամբ, էլեկտրո-հիդրավլիկ, կարգավորվող ղեկային սյունակով։
.Կառուցվածքային և տեխնիկական այլ չափորոշիչներ՝ ցածր  մուտքի հարմարադասում, ուղևորասրահի բարձրությունը՝ ոչ պակաս 1950մմ, ավտոբուսի լցավորված և նախատեսված  պարագաներով կահավորված  զանգվածը ոչ ավելի 9400 կգ-ից, թույլատրելի առավելագույն զնգվածը (առավելագույն բեռնվածությանը)՝15000 կգ։
.Մատակարարը պետք է ապահովի՝ 
-Վալիդատորի  համար նախատեսված տեղ և միացման հնարավորություն,
-Կանգառների և երթուղու համարի էլեկտրոնային,հայերեն,ռուսերեն և անգլերեն լեզուներով ցուցադրման արտաքին վահանակներ ( դիմային,աջ կողային (ավտոբուսի առջևի դռան ձախ կողմում՝տեսողության խնդիրներ ունեցող անձանց համար՝երթուղու համարի ընդլայնված ցուցիչի առկայություն) ),
-Կանգառների ավտոմատ հայտարարման սարք (ամբողջովին կույր անձանց երթևեկության համար ռադիոտեղեկատվական և ձայնային կողմնորոշման համակարգի առկայությունը՝ ավտոբուսում տեղադրված սարքավորումների միջոցով),
-Մոնիտոր ուղևորասրահում՝կանգառների ցուցադրման հնարավորությամբ(լսողության խնդիրներ ունեցող անձանց համար ավտոբուսի սրահը պետք է կահավորված լինի տեսողական տեղեկատվական վահանակներով, որոնք ապահովում են կանգառների վերաբերյալ ձայանային տեղեկատվության կրկնօրինակումը),
-Վիդիոմոնիտոր վարորդի աշխատանքային տարածքում,
-Ուղևորասրահում՝ տեսանկարահանման համակարգ 
-Տեսանյութերի պահպանման սարք, 
-Վարորդի բարձրախոս,
-Հետընթացի ձայնային ազդանշան ․
-Արգելակման նախազգուշացնող համակարգ։
.USB լիցքավորման վարդակներ՝ սրահում պետք է տեղադրված լինի առնվազն 5 հատ USB հեռախոսի լիցքավորման վարդակներ։
.Լուսավորությունը՝ ցերեկային լուսարձակները՝ LED տեխնոլոգիայով։
.Դիմապակու խոզանակները՝ ավտոբուսները պետք է կահավորված լինեն դիմապակու էլեկտրական խոզանակներով՝ մի քանի կարգավորման ռեժիմներով և դիմապակու  մաքրման հեղուկի բաքով։
.Լուսածերպ՝ նվազագույնը 125մմ։
.Շահագործման պայմանները՝  մատակարարվող ավտոբուսները շահագործվելու են 
-40-ից +40 աստիճան եղանակային պայմաններում։
.Մատակարարը պետք է ՀՀ Գյումրի համայնքի տարածքում իրականացնի Պատվիրատուի աշխատակիցների կամ լիազոր ներկայացուցիչների՝ վարորդների և տեխնիկական սպասարկող անձնակազմի ուսուցում՝ ավտոբուսների վարելուն, շահագործելու, նախաուղերթային  տեխնիկական զննություն, ընթացիկ սպասարկում և նորոգում իրականացնելու  նպատակով։
 .Մատակարարումը՝ նշված քանակի ավտոբուսները պետք է պատվիրատուին մատակարարվեն 12 ամսվա ընթացքում։
.Ավտոբուսի երաշխիքային սպասարկման ժամկետը պետք է լինի նվազագույնը 24 ամիս կամ  150000 կմ վազքի համար, որը պետք է իրականացվի ՀՀ Գյումրի համայնքի վարչական տարածքում։ Երաշխիքային սպասարկումը պետք է իրականացվի մատակարարի կամ մատակարարի լիազոր ներկայացուցչի կամ դուստր ընկերության կողմից։
Պահանջների համապատասխանությունը.
««Համայնքում երթևեկող որոշ տեսակի ճանպարհա-տրանսպորտային միջոցների՝ ազգային և միջազգային երթևեկության ժամանակ թույլատրելի  առավելագույն եզրաչափերը և միջազգային երթևեկության ժամանակ դրանց թույլատրելի առավելագույն զանգվածը սահմանող»»  Խորհրդի 1996 թվականի հուլիսի 25-ի 96/53/ԵՀ հրահանգի պահանջներին համապատասխանություն: 
««Անվավոր տրանպորտային միջոցների անվտանգության մասին»» ՄՄ ՏԿ 018/2011 Մաքսային Միության Տեխնիկական Կանոնակարգով սահմանված պահանջներին համապատասխանություն: 
««Անիվային մեքենաների անվտնգության մասին»» վկայական (TR CU 018/2011) մասնակիցը կարող է ներկայացնել Հայաստանի Հանրապետություն առաքելիս: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12 ամսվա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