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2025.12.09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ՀՀՎԱ-ԷԱՃԱՇՁԲ-26/24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Վարչապետի աշխատակազմի կարիքների համար պատվերով տպագրվող նյութերի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10:30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Աստղիկ Եղիազարյան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010-515-671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astghik.yeghiazaryan@gov.am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ՀՀՎԱ-ԷԱՃԱՇՁԲ-26/24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2025.12.09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Վարչապետի աշխատակազմի կարիքների համար 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Վարչապետի աշխատակազմի կարիքների համար 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ՀՀՎԱ-ԷԱՃԱՇՁԲ-26/24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astghik.yeghiazaryan@gov.am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Վարչապետի աշխատակազմի կարիքների համար 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381.55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4.9785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444.54</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2025.12.22. 10:30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ՀՀՎԱ-ԷԱՃԱՇՁԲ-26/24</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ՀՀՎԱ-ԷԱՃԱՇՁԲ-26/24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ՀՀՎԱ-ԷԱՃԱՇՁԲ-26/24</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«ՀՀՎԱ-ԷԱՃԱՇՁԲ-26/24»*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ՀՀՎԱ-ԷԱՃԱՇՁԲ-26/24*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«ՀՀՎԱ-ԷԱՃԱՇՁԲ-26/24»*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ՀՀՎԱ-ԷԱՃԱՇՁԲ-26/24*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գրքույկի տպագրություն
Գրքույկի չափսերը՝ 18.5x24սմ (փակ վիճակում) Կազմարարության տեսակ՝ զսպանակով, Էջերի քանակը՝ մինչև 150 (75 թերթ), կազմ՝ կավճապատ թուղթ 300գր/մ․ք, լամինացիա՝ անփայլ միակողմանի։
Տպագրություն՝ գունավոր 4+4 
Միջուկ՝ օֆսեթ թուղթ 80-90գր/մ․ք 
Տպագրություն՝ գունավոր 4+4
  Ընդհանուր առմամբ տպագրվելու է 11 գրքույք (տարբեր բովանդակության), յուրաքանչյուրից 100 օրինակով։
Տրամադրվում է գրքույկի համանման նմուշը, անհատական դիզայնը և տպագրվող նյութը:
  Գինը ներառում է՝ տպագրության համար անհրաժեշտ թուղթը և նյութերը, գունավոր կորեկցիան, գունաբաժանումը, էջադրումը և առաքումը պատվիրատուի նշված հասցեով: 
  Վճարումը կիրականացվի փաստացի կատարված աշխատանքների դիմաց:     
  Նմուշները նախօրոք համաձայնեցնել պատվիրատուի հետ:
Գինը ներառում է՝ տպագրության համար անհրաժեշտ թուղթը և նյութերը, գունավոր կորեկցիան, գունաբաժանումը, սրբագրումը, խմբագրումը, էջադրումը և առաքումը պատվիրատուի նշված հասցեով: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25-րդ օրը՝  ըստ պատվիրատուի կողմից ներկայացված պատվեր-հայտի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