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электронной передачи информации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naira.mkrtchyan@gov.am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ՀՀՎԱ-ԷԱՃԾՁԲ-26/25</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электронной передачи информации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электронной передачи информации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naira.mkrtchyan@gov.am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электронной передачи информации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4.9785</w:t>
      </w:r>
      <w:r w:rsidRPr="005704A1">
        <w:rPr>
          <w:rFonts w:ascii="Calibri" w:hAnsi="Calibri"/>
          <w:szCs w:val="22"/>
        </w:rPr>
        <w:t xml:space="preserve">драмом, евро </w:t>
      </w:r>
      <w:r w:rsidRPr="005704A1">
        <w:rPr>
          <w:rFonts w:ascii="Calibri" w:hAnsi="Calibri"/>
          <w:lang w:val="hy-AM"/>
        </w:rPr>
        <w:t>444.54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ՀՀՎԱ-ԷԱՃԾՁԲ-26/25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"ՀՀՎԱ-ԷԱՃԾՁԲ-26/25"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"ՀՀՎԱ-ԷԱՃԾՁԲ-26/25"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ՀՀՎԱ-ԷԱՃԾՁԲ-26/25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в том числе электронные услуги (Zoom Pro with zoom room, zoom phone, webinar, and cloud recording, Mailchimp Premium, Hootsuite, Adobe creative cloud all apps).
Исполнитель обязан приобрести для Заказчика: Zoom Pro with zoom room, zoom phone, webinar, and cloud recording, Mailchimp Premium (содержит не менее 50 000 mail-базы), Hootsuite, Adobe creative cloud all apps годичную подписку на услуги, которая, как минимуму, будет включать:
•	услуга Zoom pro с 5 лицензиями, которая включает доступ 100 участников, возможность расширения до 1000 участников с помощью функции Large Meetings add-on, групповые встречи продолжительностью не более 30 часов, доступ к подключению к социальным сетям, 1 ГБ памяти для хранения записей,
•	услуга zoom room, которая включает в себя как минимум 2 отдельные комнаты 
•	1 лицензия на услугу Zoom Webinar, которая позволит принять участие не менее 500 людям
•	Услуга Mailchimp Premium, доступ к основной базе и рассылкам которая охватит не менее 50 тысяч электронных адресов и обеспечит отчет по мониторингу
•	Услуга Hootsuite, которая будет включать доступ как минимум 3 пользователей, возможность подключения как минимум к 20 социальным сетям, возможность безлимитных публикаций в социальных сетях, возможность объединения всей переписки на одной платформе 
•	Adobe creative cloud all apps сервис, который будет охватывать все приложения сервиса, а именно: Photoshop, Illustrator, Premiere Pro, Acrobat Pro, InDesign, After Effects, Lightroom, Adobe XD, Animate, Lightroom Classic, Dreamweaver, Dimension, Audition, InCopy, Character Animator, Capture, Adobe Fresco, Bridge, Adobe Express, Premiere Rush, Photoshop Express, Media Encoder, Aero, Adobe Scan, Fill and S, Acrobat Reader
Исполнитель обязан предоставить Заказчику хотя бы одно контактное лицо в ходе осуществления услуги для письменного и устного общения с контактным лицом Заказчика.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В. Саркисяна,3, Дом правительства 2 Офис главного уполномоченного по делам диаспоры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вступления в силу соглашения между сторонами до  360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