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ԱԱԾ-ՏՆՏՎ-ԷԱՃԱՊՁԲ-26/1-ՄԱՔՆՅՈՒԹ</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ՄԱՔՐՈՂ ՆՅՈՒԹԵՐԻ և ԿՈՇԻԿԻ ՔՍՈՒՔԻ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ԱԱԾ-ՏՆՏՎ-ԷԱՃԱՊՁԲ-26/1-ՄԱՔՆՅՈՒԹ</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ՄԱՔՐՈՂ ՆՅՈՒԹԵՐԻ և ԿՈՇԻԿԻ ՔՍՈՒՔԻ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ՄԱՔՐՈՂ ՆՅՈՒԹԵՐԻ և ԿՈՇԻԿԻ ՔՍՈՒՔԻ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ԱԱԾ-ՏՆՏՎ-ԷԱՃԱՊՁԲ-26/1-ՄԱՔՆՅՈՒԹ</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ՄԱՔՐՈՂ ՆՅՈՒԹԵՐԻ և ԿՈՇԻԿԻ ՔՍՈՒՔԻ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ԱԱԾ-ՏՆՏՎ-ԷԱՃԱՊՁԲ-26/1-ՄԱՔՆՅՈՒԹ</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ԱԱԾ-ՏՆՏՎ-ԷԱՃԱՊՁԲ-26/1-ՄԱՔՆՅՈՒԹ</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ԱԱԾ-ՏՆՏՎ-ԷԱՃԱՊՁԲ-26/1-ՄԱՔՆՅՈՒԹ»*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ԱԱԾ-ՏՆՏՎ-ԷԱՃԱՊՁԲ-26/1-ՄԱՔՆՅՈՒԹ*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ԱԱԾ-ՏՆՏՎ-ԷԱՃԱՊՁԲ-26/1-ՄԱՔՆՅՈՒԹ»*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ԱԱԾ-ՏՆՏՎ-ԷԱՃԱՊՁԲ-26/1-ՄԱՔՆՅՈՒԹ*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կոշիկի փայլեցման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Կոշիկի քսուք: Սև գույնի, բաղադրությունը՝ պարաֆին, մեղրամոմ տեխնիկական, սկիպիդար, նավթամթերք, ներկանյութ, չափածրարված 1 կգ-ից ոչ ավելի  զանգվածներով, հերմատիկ փակվող կափարիչով: Փաթեթավորումը` ստվարաթղթե երկշետ արկղերով: Արկղերը և տարողությունները պիտակավորված, Պիտակների վրա պետք է նշված լինի տեսականու անվանումը, գույնը,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ԳՕՍՏ 28546-2014 «Էքստրա» տեսակի, որակական թիվը (ճարպաթթուների զանգվածը վերահաշվարկված 100գ կտորի անվանական զանգվածի համար) ոչ պակաս՝ 78 գ, սոդայանյութերի զանգվածային (վերահաշվարկված ըստ Na2O) մասը՝ ոչ ավելի 0.2%-ից, փրփուրի նախնական ծավալը՝ ոչ պակաս 350սմ3: Նատրիումի քլորիդի զանգվածային մասը` ոչ ավելի 0.7 %-ից, օճառից անջատված ճարպաթթուների սառեցման ջերմաստիճանը (տիտրը)` (35-44)°C: Անվտանգությունը` ըստ ՀՀ առողջապահության նախարարի 2005թ. նոյեմբերի 24-ի N 1109-Ն հրամանով հաստատված «N 2-III-8.2 օծանելիքակոսմետիկական արտադրանքի արտադրոթյանը և անվտանգությանը ներկայացվող հիգիենիկ պահանջներ» սանիտարական կանոնների և նորմերի, մակնշումը և փաթեթավորումը: 1 հատը՝ 100 գր  զանգվածով, փաթեթավորումը` ստվարաթղթե երկշետ արկղերով: Արկղերը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բաց դեղնավուն կամ գունավորած հատիկավոր փոշի: Փոշու զանգվածային մասը ոչ ավել 5%, pH-ը` 7․5-11․5, ‎ֆոսֆորաթթվական աղերի զանգվածային մասը ոչ ավելի 22%, փրփրագոյացման ունակությունը (ցածր փրփրագոյացնող միջոցների համար) ոչ ավել 200 մմ, փրփուրի կայունությունը ոչ ավելի 0,3 միավոր, լվացող ունակությունը ոչ պակաս 85%, սպիտակեցնող ունակությունը (քիմիական սպիտակեցնող նյութեր պարունակող միջոցների համար) ոչ պակաս 80%։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Մինչև 2.5 կգ գործարանային զանգվածով փաթեթավորված: Հակերը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մինչև 5 % պոլիկարբօքսիլներ պարունակող կատրիոնային արտաքին ակտիվ (ԱԱՆ) նյութերից, 5-15 % թթվածին պարունակող սպիտակեցնող նյութերից, 15-30% անիոնային ԱԱՆ, ‎ֆոսֆատներ, էնզիմներ, օպտիկական սպիտակեցնող նյութերից: Հոտը` ըստ կիրառված հոտավորիչի: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Մինչև 2.5 կգ գործարանային զանգվածով փաթեթավորված:  
Հակերը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ամիսը և տարեթիվը: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90 օրացույցային օր,  բայց ոչ ուշ, քան 2026թ. մարտի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273 օրացույցային օր, բայց ոչ ուշ, քան 2026թ.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151 օրացույցային օր,  բայց ոչ ուշ, քան 2026թ. մայիսի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համաձայնագիրը ուժի մեջ մտնելու պահից՝ 90 օրացույցային օր,  բայց ոչ ուշ, քան 2026թ. մարտի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