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ԱԱԾ-ՏՆՏՎ-ԷԱՃԱՊՁԲ-26/1-ՄԱՔՆՅՈՒԹ</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ЧИСТЯЩИХ СРЕДСТВ и КРЕМА ДЛЯ ОБУВИ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ԱԱԾ-ՏՆՏՎ-ԷԱՃԱՊՁԲ-26/1-ՄԱՔՆՅՈՒԹ</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ЧИСТЯЩИХ СРЕДСТВ и КРЕМА ДЛЯ ОБУВИ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ЧИСТЯЩИХ СРЕДСТВ и КРЕМА ДЛЯ ОБУВИ</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ԱԱԾ-ՏՆՏՎ-ԷԱՃԱՊՁԲ-26/1-ՄԱՔՆՅՈՒԹ</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ЧИСТЯЩИХ СРЕДСТВ и КРЕМА ДЛЯ ОБУВИ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полировки обуви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туалетное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ԱԱԾ-ՏՆՏՎ-ԷԱՃԱՊՁԲ-26/1-ՄԱՔՆՅՈՒԹ</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национальной безопасности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ԱԱԾ-ՏՆՏՎ-ԷԱՃԱՊՁԲ-26/1-ՄԱՔՆՅՈՒԹ</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ԱԱԾ-ՏՆՏՎ-ԷԱՃԱՊՁԲ-26/1-ՄԱՔՆՅՈՒԹ</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ԱԱԾ-ՏՆՏՎ-ԷԱՃԱՊՁԲ-26/1-ՄԱՔՆՅՈՒԹ"</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ԱԱԾ-ՏՆՏՎ-ԷԱՃԱՊՁԲ-26/1-ՄԱՔՆՅՈՒԹ*.</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ԱԱԾ-ՏՆՏՎ-ԷԱՃԱՊՁԲ-26/1-ՄԱՔՆՅՈՒԹ"</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ԱԱԾ-ՏՆՏՎ-ԷԱՃԱՊՁԲ-26/1-ՄԱՔՆՅՈՒԹ*.</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ԱԱԾ-ՏՆՏՎ-ԷԱՃԱՊՁԲ-26/1-ՄԱՔՆՅՈՒԹ</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полировки обуви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обуви. Черного цвета, состав: парафин, воск технический скипидар, нефтепродукты, краситель, расфасованный в тарах массой не более 1 кг, с герметичной закрывающейся крышкой.
Упаковка в двухслойных картонных коробках. Коробки и тары маркированные, на этикетках  должны быть указаны наименование, масса, цвет, ассортимента, гарантийный срок хранения, наименование организации-поставщика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туалетное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туалетное, ГОСТ 28546-2014. Качественное число (масса жирных кислот в пересчете на  номинальную массу 100г ткани) не менее 78г, масса содаевых веществ (пересчитанная по Na2O) не более 0,2%; первоначальный объем пены не менее 350 см3. Массовая доля хлорида натрия-не более 0․7%; температура (титр) затвердевания жирных кислот, выделенных из мыла - (35-44)°С.
Безопасность: согласно санитарным правилам и нормам “Гигиенические требования к производству и безопасности парфюмерно-косметической продукции N 2-III-8.2”, утвержденным приказом министра здравоохранения РА N 1109-Н от 24 ноября 2005г. Маркировка и упаковка: 1 шт. массой 100 г, упаковка в двухслойных картонных коробках.
Коробки маркированные, на этикетках должны быть указаны наименование, масса ассортимента, гарантийный срок хранения, наименование организации-поставщика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Белый, светло-желтоватый или окрашенный гранулированный порошок. Масса порошка не более 5%, рН-7,5-11,5, масса фосфорной кислоты не более 22%, способность вспенивания (для низких пенообразовательных средств) не более 200 мм, устойчивость пены не более 0,3 единиц, моющая способность не менее 85%, отбеливающая способность (для средств, содержащих химические отбеливающие вещества) не менее 80%.
Безопасность, маркировка и упаковка: согласно утвержденному постановлениием Правительства РА 1795-Н от 16 декабря 2004г. "Техническому регламенту поверхностно-активных веществ и моющих и чистящих средств, содержащих поверхностно-активные вещества".
На этикетках должны быть указаны название ассортимента, масса, гарантийный срок хранения, название организации-поставщика месяц и год производства.
Упакованные до 2,5 кг заводской массы. Коробки маркированные, на этикетках  должны быть указаны наименование, масса ассортимента, гарантийный срок хранения, наименование организации-поставщика месяц и год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Состав: из катрионовых внешне активных веществ (ВАВ), содержащих до 5 % поликарбоксила, отбеливающих веществ, содержащих 5-15% кислорода, анионовых ВАВ 15-30%, фосфатов, энзимов, оптических отбеливающих веществ. Запах: согласно примененному ароматизатору.
Безопасность, маркировка и упаковка: согласно утвержденному постановлениием Правительства РА 1795-Н от 16 декабря 2004г. "Техническому регламенту поверхностно-активных веществ и моющих и чистящих средств, содержащих поверхностно-активные вещества".
На этикетках должны быть указаны название ассортимента, масса, гарантийный срок хранения, название организации-поставщика месяц и год производства. Упакованные до 2,5 кг заводской массы. 
Коробки маркированные, на этикетках  должны быть указаны наименование, масса ассортимента, гарантийный срок хранения, наименование организации-поставщика месяц и год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календарный  день  с момента вступления в силу Соглашения, заключенного при наличии соответствующих предусмотренных финансовых средств,  но не позднее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календарных дня с момента вступления в силу Соглашения, заключенного при наличии соответствующих предусмотренных финансовых средств,  но не позднее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календарный  день  с момента вступления в силу Соглашения, заключенного при наличии соответствующих предусмотренных финансовых средств,  но не позднее  31 мая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календарный  день  с момента вступления в силу Соглашения, заключенного при наличии соответствующих предусмотренных финансовых средств,  но не позднее  31 марта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