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2026 թվականի կարիքների համար ռեգուլյար բենզինի և հեղուկ գազի ձեռքբերման մրցույթի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2026 թվականի կարիքների համար ռեգուլյար բենզինի և հեղուկ գազի ձեռքբերման մրցույթի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2026 թվականի կարիքների համար ռեգուլյար բենզինի և հեղուկ գազի ձեռքբերման մրցույթի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2026 թվականի կարիքների համար ռեգուլյար բենզինի և հեղուկ գազի ձեռքբերման մրցույթի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ՏԱՎՈՒՇԻ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որն օգտագործելի է ամբողջ ՀՀ տարածքում, պարտադիր պայման  է հանդիսանում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