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ՀԿԿ-ԷԱՃԱՊՁԲ-ԲՌ-26/13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ՀԿԿ-ԷԱՃԱՊՁԲ-ԲՌ-26/13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ՀԿԿ-ԷԱՃԱՊՁԲ-ԲՌ-26/13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444.21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90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ՀԿԿ-ԷԱՃԱՊՁԲ-ԲՌ-26/13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ՀԿԿ-ԷԱՃԱՊՁԲ-ԲՌ-26/13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ՀԿԿ-ԷԱՃԱՊՁԲ-ԲՌ-26/13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ՀԿԿ-ԷԱՃԱՊՁԲ-ԲՌ-26/13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ՀԿԿ-ԷԱՃԱՊՁԲ-ԲՌ-26/13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ՀԿԿ-ԷԱՃԱՊՁԲ-ԲՌ-26/13»*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ՀԱՆՐԱՊԵՏՈՒԹՅԱՆ ՀԱԿԱԿՈՌՈՒՊՑԻՈՆ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ՀԿԿ-ԷԱՃԱՊՁԲ-ԲՌ-26/13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ՀԿԿ-ԷԱՃԱՊՁԲ-ԲՌ-26/13»*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ՀԱՅԱՍՏԱՆԻ ՀԱՆՐԱՊԵՏՈՒԹՅԱՆ ՀԱԿԱԿՈՌՈՒՊՑԻՈՆ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ՀԿԿ-ԷԱՃԱՊՁԲ-ԲՌ-26/13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ՀԿԿ-ԷԱՃԱՊՁԲ-ԲՌ-26/13»*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ՀԿԿ-ԷԱՃԱՊՁԲ-ԲՌ-26/13*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ՀԿԿ-ԷԱՃԱՊՁԲ-ԲՌ-26/13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ՀԿԿ-ԷԱՃԱՊՁԲ-ԲՌ-26/13»*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ՀԿԿ-ԷԱՃԱՊՁԲ-ԲՌ-26/13*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հակակոռուպցիոն կոմիտեի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Տեխնիկական բնութագիրը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երկրորդ եռամսյակ՝ 50%, չորրորդ եռամսյակ՝ 50%: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