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Գյումրու հոգեկան առողջության կենտրոնի կարիքների համար դեղորայքի ձեռքբերում 2026/5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hakgyumri25@gmail.com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2026/5</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Գյումրու հոգեկան առողջության կենտրոնի կարիքների համար դեղորայքի ձեռքբերում 2026/5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Գյումրու հոգեկան առողջության կենտրոնի կարիքների համար դեղորայքի ձեռքբերում 2026/5</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Գյումրու հոգեկան առողջության կենտրոնի կարիքների համար դեղորայքի ձեռքբերում 2026/5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378.7</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ԳՀԱԿ-ԷԱՃԱՊՁԲ 2026/5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ՀՈԳԵԿԱՆ ԱՌՈՂՋՈՒԹՅԱՆ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ԳՀԱԿ-ԷԱՃԱՊՁԲ 2026/5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ԳՀԱԿ-ԷԱՃԱՊՁԲ 2026/5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ԳՀԱԿ-ԷԱՃԱՊՁԲ 2026/5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метадона 10 мг/1 мл, 1000 мл.
В соответствии с Общим порядком перевозки наркотических средств и психотропных веществ, право на перевозку психотропных веществ зарезервировано за организациями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г.Гюмри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30/11/20262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