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ՀԱՅՏԱՐԱՐՈՒԹՅՈՒՆ</w:t>
      </w:r>
    </w:p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հրավերում փոփոխություններ կատարելու մասին</w:t>
      </w:r>
    </w:p>
    <w:p w:rsidR="00071379" w:rsidRPr="00071379" w:rsidRDefault="00071379" w:rsidP="00071379">
      <w:pPr>
        <w:spacing w:after="0" w:line="360" w:lineRule="auto"/>
        <w:jc w:val="center"/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</w:pP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Հայտարարության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սույն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տեքստը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հաստատված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է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գնահատող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հանձնաժողովի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20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25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թվականի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դեկ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տեմբերի 1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0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թիվ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1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որոշմամբ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և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հրապարակվում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է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«Գնումների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մասին»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ՀՀ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օրենքի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29-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րդ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հոդվածի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համաձայն</w:t>
      </w: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keepNext/>
        <w:spacing w:after="0" w:line="360" w:lineRule="auto"/>
        <w:jc w:val="center"/>
        <w:outlineLvl w:val="2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Ընթացակարգի ծածկագիրը «</w:t>
      </w:r>
      <w:r w:rsidRPr="00071379">
        <w:rPr>
          <w:rFonts w:ascii="Sylfaen" w:eastAsia="Times New Roman" w:hAnsi="Sylfaen" w:cs="Times New Roman"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/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07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»</w:t>
      </w:r>
    </w:p>
    <w:p w:rsidR="00071379" w:rsidRPr="00071379" w:rsidRDefault="00071379" w:rsidP="00071379">
      <w:pPr>
        <w:spacing w:after="0" w:line="240" w:lineRule="auto"/>
        <w:rPr>
          <w:rFonts w:ascii="Sylfaen" w:eastAsia="Times New Roman" w:hAnsi="Sylfaen" w:cs="Times New Roman"/>
          <w:sz w:val="32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Arial Armeni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«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Վեդու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 </w:t>
      </w:r>
      <w:r w:rsidRPr="00071379">
        <w:rPr>
          <w:rFonts w:ascii="Sylfaen" w:eastAsia="Times New Roman" w:hAnsi="Sylfaen" w:cs="Sylfaen"/>
          <w:sz w:val="24"/>
          <w:szCs w:val="20"/>
          <w:lang w:val="hy-AM" w:eastAsia="ru-RU"/>
        </w:rPr>
        <w:t>բժշկական կենտրոն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» </w:t>
      </w:r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ՓԲԸ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կարիքների համար «</w:t>
      </w:r>
      <w:r w:rsidRPr="00071379">
        <w:rPr>
          <w:rFonts w:ascii="Sylfaen" w:eastAsia="Times New Roman" w:hAnsi="Sylfaen" w:cs="Sylfaen"/>
          <w:sz w:val="24"/>
          <w:szCs w:val="20"/>
          <w:lang w:val="hy-AM" w:eastAsia="ru-RU"/>
        </w:rPr>
        <w:t>լաբորատոր նյութերի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» ձեռքբերման նպատակով կազմակերպված 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07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պատճառները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և կատարված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փոփոխությունների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համառոտ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նկարագրությունը</w:t>
      </w:r>
      <w:r w:rsidRPr="00071379">
        <w:rPr>
          <w:rFonts w:ascii="Sylfaen" w:eastAsia="Times New Roman" w:hAnsi="Sylfaen" w:cs="Arial Armenian"/>
          <w:sz w:val="24"/>
          <w:szCs w:val="20"/>
          <w:lang w:val="af-ZA" w:eastAsia="ru-RU"/>
        </w:rPr>
        <w:t>`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Փոփոխության առաջացման պատճառ` տեխնիկական վրիպակ: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hy-AM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Փոփոխության նկարագրություն` 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Համակարգում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կց</w:t>
      </w:r>
      <w:r w:rsidRPr="00071379">
        <w:rPr>
          <w:rFonts w:ascii="Sylfaen" w:eastAsia="Times New Roman" w:hAnsi="Sylfaen" w:cs="Sylfaen"/>
          <w:sz w:val="24"/>
          <w:szCs w:val="20"/>
          <w:lang w:val="en-US" w:eastAsia="ru-RU"/>
        </w:rPr>
        <w:t>ագրված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hy-AM" w:eastAsia="ru-RU"/>
        </w:rPr>
        <w:t xml:space="preserve">75-րդ չափաբաժնի </w:t>
      </w:r>
      <w:r w:rsidRPr="00071379">
        <w:rPr>
          <w:rFonts w:eastAsia="Times New Roman" w:cs="Times New Roman"/>
          <w:sz w:val="24"/>
          <w:szCs w:val="20"/>
          <w:lang w:val="hy-AM" w:eastAsia="ru-RU"/>
        </w:rPr>
        <w:t xml:space="preserve"> </w:t>
      </w:r>
      <w:r w:rsidRPr="00071379">
        <w:rPr>
          <w:rFonts w:ascii="Times Armenian" w:eastAsia="Times New Roman" w:hAnsi="Times Armenian" w:cs="Times New Roman"/>
          <w:sz w:val="24"/>
          <w:szCs w:val="20"/>
          <w:lang w:val="hy-AM" w:eastAsia="ru-RU"/>
        </w:rPr>
        <w:t xml:space="preserve"> </w:t>
      </w:r>
      <w:r w:rsidRPr="00071379">
        <w:rPr>
          <w:rFonts w:eastAsia="Times New Roman" w:cs="Times New Roman"/>
          <w:sz w:val="24"/>
          <w:szCs w:val="20"/>
          <w:lang w:val="hy-AM" w:eastAsia="ru-RU"/>
        </w:rPr>
        <w:t xml:space="preserve">  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ապրանքի անվանում գրաֆայում   նշվել է  միջանցիկ  կոդը`  ըստ CPV դասակարգման։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Փոփոխության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հիմնավորում` Փոփոխությունը կատարվել է «Գնումների մասին» ՀՀ օրենքի 29-րդ հոդվածի պահանջների համաձայն: 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07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ծածկագրով գնահատող հանձնաժողովի քարտուղար </w:t>
      </w:r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Գ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 xml:space="preserve">. </w:t>
      </w:r>
      <w:proofErr w:type="spellStart"/>
      <w:r w:rsidRPr="00071379">
        <w:rPr>
          <w:rFonts w:ascii="Sylfaen" w:eastAsia="Times New Roman" w:hAnsi="Sylfaen" w:cs="Sylfaen"/>
          <w:sz w:val="24"/>
          <w:szCs w:val="20"/>
          <w:lang w:eastAsia="ru-RU"/>
        </w:rPr>
        <w:t>Ամիրջանյանին</w:t>
      </w:r>
      <w:proofErr w:type="spellEnd"/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:</w:t>
      </w:r>
      <w:r w:rsidRPr="00071379">
        <w:rPr>
          <w:rFonts w:ascii="Sylfaen" w:eastAsia="Times New Roman" w:hAnsi="Sylfaen" w:cs="Sylfaen"/>
          <w:sz w:val="24"/>
          <w:szCs w:val="20"/>
          <w:u w:val="single"/>
          <w:lang w:val="af-ZA" w:eastAsia="ru-RU"/>
        </w:rPr>
        <w:t xml:space="preserve">         </w:t>
      </w:r>
    </w:p>
    <w:p w:rsidR="00071379" w:rsidRPr="00071379" w:rsidRDefault="00071379" w:rsidP="00071379">
      <w:pPr>
        <w:spacing w:after="240" w:line="360" w:lineRule="auto"/>
        <w:ind w:firstLine="709"/>
        <w:contextualSpacing/>
        <w:jc w:val="both"/>
        <w:rPr>
          <w:rFonts w:ascii="Sylfaen" w:eastAsia="Times New Roman" w:hAnsi="Sylfaen" w:cs="Sylfaen"/>
          <w:sz w:val="12"/>
          <w:szCs w:val="20"/>
          <w:lang w:val="af-ZA" w:eastAsia="ru-RU"/>
        </w:rPr>
      </w:pPr>
    </w:p>
    <w:p w:rsidR="00071379" w:rsidRPr="00071379" w:rsidRDefault="00071379" w:rsidP="00071379">
      <w:pPr>
        <w:spacing w:after="0" w:line="360" w:lineRule="auto"/>
        <w:ind w:firstLine="709"/>
        <w:contextualSpacing/>
        <w:jc w:val="both"/>
        <w:rPr>
          <w:rFonts w:ascii="Sylfaen" w:eastAsia="Times New Roman" w:hAnsi="Sylfaen" w:cs="Times New Rom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Հեռախոս՝ 09</w:t>
      </w:r>
      <w:r w:rsidRPr="00071379">
        <w:rPr>
          <w:rFonts w:ascii="Sylfaen" w:eastAsia="Times New Roman" w:hAnsi="Sylfaen" w:cs="Times New Roman"/>
          <w:sz w:val="24"/>
          <w:szCs w:val="20"/>
          <w:lang w:val="hy-AM" w:eastAsia="ru-RU"/>
        </w:rPr>
        <w:t>9</w:t>
      </w: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>-27-71-56։</w:t>
      </w:r>
    </w:p>
    <w:p w:rsidR="00071379" w:rsidRPr="00071379" w:rsidRDefault="00071379" w:rsidP="00071379">
      <w:pPr>
        <w:spacing w:after="0" w:line="360" w:lineRule="auto"/>
        <w:ind w:firstLine="709"/>
        <w:jc w:val="both"/>
        <w:rPr>
          <w:rFonts w:ascii="Sylfaen" w:eastAsia="Times New Roman" w:hAnsi="Sylfaen" w:cs="Arial Armenia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Էլեկոտրանային փոստ՝ </w:t>
      </w:r>
      <w:hyperlink r:id="rId5" w:history="1"/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  </w:t>
      </w:r>
      <w:hyperlink r:id="rId6" w:history="1">
        <w:r w:rsidRPr="00071379">
          <w:rPr>
            <w:rFonts w:ascii="Sylfaen" w:eastAsia="Times New Roman" w:hAnsi="Sylfaen" w:cs="Times New Roman"/>
            <w:color w:val="0000FF"/>
            <w:sz w:val="24"/>
            <w:szCs w:val="20"/>
            <w:u w:val="single"/>
            <w:lang w:val="af-ZA" w:eastAsia="ru-RU"/>
          </w:rPr>
          <w:t>amirjanyan1966@mail.ru</w:t>
        </w:r>
      </w:hyperlink>
      <w:r w:rsidRPr="00071379">
        <w:rPr>
          <w:rFonts w:ascii="Sylfaen" w:eastAsia="Times New Roman" w:hAnsi="Sylfaen" w:cs="Times New Roman"/>
          <w:sz w:val="24"/>
          <w:szCs w:val="20"/>
          <w:lang w:val="af-ZA" w:eastAsia="ru-RU"/>
        </w:rPr>
        <w:t xml:space="preserve">, </w:t>
      </w:r>
    </w:p>
    <w:p w:rsidR="00071379" w:rsidRPr="00071379" w:rsidRDefault="00071379" w:rsidP="00071379">
      <w:pPr>
        <w:spacing w:after="0" w:line="360" w:lineRule="auto"/>
        <w:jc w:val="both"/>
        <w:rPr>
          <w:rFonts w:ascii="Sylfaen" w:eastAsia="Times New Roman" w:hAnsi="Sylfaen" w:cs="Sylfaen"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ab/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«</w:t>
      </w:r>
      <w:r w:rsidRPr="00071379">
        <w:rPr>
          <w:rFonts w:ascii="Sylfaen" w:eastAsia="Times New Roman" w:hAnsi="Sylfaen" w:cs="Times New Roman"/>
          <w:b/>
          <w:sz w:val="24"/>
          <w:szCs w:val="20"/>
          <w:lang w:eastAsia="ru-RU"/>
        </w:rPr>
        <w:t>Վ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ԲԿ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ԷԱՃ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ԱՊՁԲ-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26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/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>07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af-ZA" w:eastAsia="ru-RU"/>
        </w:rPr>
        <w:t>»</w:t>
      </w:r>
      <w:r w:rsidRPr="00071379">
        <w:rPr>
          <w:rFonts w:ascii="Sylfaen" w:eastAsia="Times New Roman" w:hAnsi="Sylfaen" w:cs="Times New Roman"/>
          <w:b/>
          <w:sz w:val="24"/>
          <w:szCs w:val="20"/>
          <w:lang w:val="hy-AM" w:eastAsia="ru-RU"/>
        </w:rPr>
        <w:t xml:space="preserve"> </w:t>
      </w:r>
      <w:r w:rsidRPr="00071379">
        <w:rPr>
          <w:rFonts w:ascii="Sylfaen" w:eastAsia="Times New Roman" w:hAnsi="Sylfaen" w:cs="Sylfaen"/>
          <w:sz w:val="24"/>
          <w:szCs w:val="20"/>
          <w:lang w:val="af-ZA" w:eastAsia="ru-RU"/>
        </w:rPr>
        <w:t>ծածկագրով գնման ընթացակարգի գնահատող հանձնաժողով</w:t>
      </w:r>
    </w:p>
    <w:p w:rsidR="00071379" w:rsidRPr="00071379" w:rsidRDefault="00071379" w:rsidP="00071379">
      <w:pPr>
        <w:tabs>
          <w:tab w:val="left" w:pos="8156"/>
        </w:tabs>
        <w:spacing w:after="0" w:line="360" w:lineRule="auto"/>
        <w:ind w:firstLine="709"/>
        <w:jc w:val="right"/>
        <w:rPr>
          <w:rFonts w:ascii="Sylfaen" w:eastAsia="Times New Roman" w:hAnsi="Sylfaen" w:cs="Sylfaen"/>
          <w:b/>
          <w:sz w:val="24"/>
          <w:szCs w:val="20"/>
          <w:lang w:val="af-ZA" w:eastAsia="ru-RU"/>
        </w:rPr>
      </w:pP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1</w:t>
      </w:r>
      <w:r w:rsidRPr="00071379">
        <w:rPr>
          <w:rFonts w:ascii="Sylfaen" w:eastAsia="Times New Roman" w:hAnsi="Sylfaen" w:cs="Sylfaen"/>
          <w:b/>
          <w:sz w:val="24"/>
          <w:szCs w:val="20"/>
          <w:lang w:val="hy-AM" w:eastAsia="ru-RU"/>
        </w:rPr>
        <w:t>1</w:t>
      </w: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.</w:t>
      </w:r>
      <w:r w:rsidRPr="00071379">
        <w:rPr>
          <w:rFonts w:ascii="Sylfaen" w:eastAsia="Times New Roman" w:hAnsi="Sylfaen" w:cs="Sylfaen"/>
          <w:b/>
          <w:sz w:val="24"/>
          <w:szCs w:val="20"/>
          <w:lang w:val="hy-AM" w:eastAsia="ru-RU"/>
        </w:rPr>
        <w:t>12</w:t>
      </w: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.20</w:t>
      </w:r>
      <w:r w:rsidRPr="00071379">
        <w:rPr>
          <w:rFonts w:ascii="Sylfaen" w:eastAsia="Times New Roman" w:hAnsi="Sylfaen" w:cs="Sylfaen"/>
          <w:b/>
          <w:sz w:val="24"/>
          <w:szCs w:val="20"/>
          <w:lang w:val="hy-AM" w:eastAsia="ru-RU"/>
        </w:rPr>
        <w:t>25</w:t>
      </w:r>
      <w:r w:rsidRPr="00071379">
        <w:rPr>
          <w:rFonts w:ascii="Sylfaen" w:eastAsia="Times New Roman" w:hAnsi="Sylfaen" w:cs="Sylfaen"/>
          <w:b/>
          <w:sz w:val="24"/>
          <w:szCs w:val="20"/>
          <w:lang w:val="af-ZA" w:eastAsia="ru-RU"/>
        </w:rPr>
        <w:t>թ.</w:t>
      </w:r>
    </w:p>
    <w:p w:rsidR="00053022" w:rsidRDefault="00053022">
      <w:bookmarkStart w:id="0" w:name="_GoBack"/>
      <w:bookmarkEnd w:id="0"/>
    </w:p>
    <w:sectPr w:rsidR="00053022" w:rsidSect="0007137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79"/>
    <w:rsid w:val="00053022"/>
    <w:rsid w:val="0007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irjanyan1966@mail.ru" TargetMode="External"/><Relationship Id="rId5" Type="http://schemas.openxmlformats.org/officeDocument/2006/relationships/hyperlink" Target="mailto:m.adonts@mil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2025-12-11T07:59:00Z</dcterms:created>
  <dcterms:modified xsi:type="dcterms:W3CDTF">2025-12-11T08:00:00Z</dcterms:modified>
</cp:coreProperties>
</file>