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ԿԿՀ-ԳՆ-ԷԱՃԾՁԲ-26/02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Կոռուպցիայի կանխարգելման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Կոռուպցիայի կանխարգելման հանձնաժողովի 2026 թվականի կարիքների համար հանրային հեռախոսային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+37494955944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hayk.ghazaryan@smarttender.am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Կոռուպցիայի կանխարգելման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ԿԿՀ-ԳՆ-ԷԱՃԾՁԲ-26/02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Կոռուպցիայի կանխարգելման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Կոռուպցիայի կանխարգելման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Կոռուպցիայի կանխարգելման հանձնաժողովի 2026 թվականի կարիքների համար հանրային հեռախոսային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Կոռուպցիայի կանխարգելման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Կոռուպցիայի կանխարգելման հանձնաժողովի 2026 թվականի կարիքների համար հանրային հեռախոսային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ԿԿՀ-ԳՆ-ԷԱՃԾՁԲ-26/02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hayk.ghazaryan@smarttender.am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Կոռուպցիայի կանխարգելման հանձնաժողովի 2026 թվականի կարիքների համար հանրային հեռախոսային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ԿԿՀ-ԳՆ-ԷԱՃԾՁԲ-26/02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Կոռուպցիայի կանխարգելման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ԿԿՀ-ԳՆ-ԷԱՃԾՁԲ-26/02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ԿԿՀ-ԳՆ-ԷԱՃԾՁԲ-26/02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«ԿԿՀ-ԳՆ-ԷԱՃԾՁԲ-26/02»*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Կոռուպցիայի կանխարգելման հանձնաժողով*  (այսուհետ` Պատվիրատու) կողմից կազմակերպված` ԿԿՀ-ԳՆ-ԷԱՃԾՁԲ-26/02*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«ԿԿՀ-ԳՆ-ԷԱՃԾՁԲ-26/02»*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Կոռուպցիայի կանխարգելման հանձնաժողով*  (այսուհետ` Պատվիրատու) կողմից կազմակերպված` ԿԿՀ-ԳՆ-ԷԱՃԾՁԲ-26/02*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ԿՈՌՈՒՊՑԻԱՅԻ ԿԱՆԽԱՐԳԵԼՄԱՆ ՀԱՆՁՆԱԺՈՂՈՎԻ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4.3 Պայմանագիրը կնքվում է առավելագույնը՝ 1200000 ՀՀ դրամով: 4.4 Մատուցված ծառայության դիմաց վճարումներն իրականացվում են հետևյալ բանաձևով.  ՎԳ=ԾxՔ, որտեղ՝
ՎԳ-ն պայմանագրով սահմանված առանձին տեսակի ծառայությունների մատուցման դիմաց վճարվող գումարն է.
Ծ-ն մատուցված առանձին տեսակի ծառայության միավորի գինն է.
Ք-ն մատուցված տվյալ ծառայության քանակն է:</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WORD փաստաթղթում։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365 օրացուցային օր (բայց ոչ ավել քան  31.12.2026թ)։ Ելնելով անհրաժեշտությունից՝ Պայմանագրի պայմանները կիրառվելու են մինչև համաձայնագիր կնքելը՝ Պայամանագրի կնքման օրվանից կողմերի միջև փաստացի ծագած հարաբերությունների նկատմամբ։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