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ՍԳԼ-ԷԱՃԱՊՁԲ-26/20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ОБЪЯВЛЕННЫЙ С ЦЕЛЬЮ ПРИОБРЕТЕНИЯ ТОВАРОВ МЕДИЦИНСКОГО НАЗНАЧЕНИЯ ДЛЯ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кардиовертер-дефибриллятор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кардиовертер-дефибриллятор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кардиовертер-дефибриллятора с принадлежностями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4.8218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447.02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2025.12.23.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Устройство имеет физиологическую изогнутую форму; размеры не более 46 x 50 x 6 мм. Примерный срок службы устройства — 9,7 года, гарантийный срок производителя — 5 лет. Оснащено функцией автоматической регистрации импульса «удар за ударом» и возможностью автоматической подачи резервного импульса безопасности 5 В.
Устройство должно содержать алгоритмы приоритета собственного ритма желудочков и подавления предсердных экстрасистол. Оснащено программируемой системой сигнализации AT/AF.
Тип коннектора: IS-1.
Режимы работы: AOO(R); AAI(R); AAT(R); VOO(R); VVI(R); VVT(R); VDD(R); DOO(R); DVI(R); DDI(R); DDD(R).
Комплект также включает два электродa с активной фиксацией, совместимых с МРТ и два разрывных интродьюсера.
Устройство должно быть совместимо с программатором St. Jude Medical (Abbott).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не менее 1,5 Тесла. Размеры: объём не более 14 cc, масса не более 25 г.
Тип коннектора: IS-1.
Режимы стимуляции: DDD(R); DDI(R); VVI(R); AAI(R); DOO; VOO; AOO.
Комплект включает два предсердных электрода, совместимых с МРТ, и два интродьюсера. В зависимости от заказа электроды могут быть с пассивной или активной фиксацией.
Усройство должно быть совместимо с программатором Boston Scientific. При этом Поставщик обязан предоставить программатор Boston Scientific.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не менее 1,5 Тесла. Устройство имеет физиологическую изогнутую форму. Размеры: объём не более 10 cc, длина не более 48 мм, масса не более 20,8 г.
Оснащено функцией автоматической регистрации импульса «удар за ударом» и возможностью автоматической подачи резервного импульса безопасности 5 В.
Устройство должно содержать алгоритмы приоритета собственного ритма желудочков и подавления предсердных экстрасистол. Оснащено программируемой системой сигнализации AT/AF.
Тип коннектора: IS-1.
Режимы работы: DDD(R); DDI(R); VVI(R); AAI(R); DOO; VOO; AOO.
Комплект также включает два предсердных электрода с активной фиксацией, совместимых с МРТ, и два интродьюсера.
Устройство должно быть совместимо с программатором Biotronik.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Размеры устройства не более 44,7 мм x 47,9 мм x 7,5 мм. Тип батареи — литий-йод. Тип коннектора — IS-1.
Режимы стимуляции: AAIR«=»DDDR, DDDR, AAI«=»DDD, DDD, DDIR, DDI, DVIR, DVI, DOOR, DOO, VDD, VVIR, VDIR, VVI, VDI, VVT, VOOR, VOO, AAIR, ADIR, AAI, ADI, AAT, AOOR, AOO, ODO, OVO, OAO.
Комплект включает два электрода и два интродьюсера. В зависимости от заказа электроды могут быть с пассивной или активной фиксацией.
Устройство должно быть совместимо с программатором Medtronic.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Тип коннектора — DF-4. Комплекты совместимы с МРТ не менее 1,5 Тесла. Объём устройства не более 35 см³. Имеет покрытие из парилена. Химический QHR аккумулятор.
Оснащён алгоритмом обнаружения высокого напряжения с автоматическим изменением конфигурации разряда. Должен иметь функцию обнаружения шума электрода. Обеспечивает высококачественную систему детекции наджелудочковых и желудочковых тахикардий. Высокочувствительная система с гибкой и точной настройкой параметра T. Возможность мониторинга остановок сердца. Функция антитахикардической стимуляции.
Режимы работы: DDD(R); DDI(R); VVI(R); AAI(R); DDD; DDI; VVI; AAI; AAT; DOO; VOO; AOO.
Комплект также включает один электрод с активной фиксацией, совместимый с МРТ, и один разрывной интродьюсер.
Устройство должно быть совместимо с программатором St. Jude Medical (Abbott).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Тип коннектора — DF1/DF4.
Оснащён эксклюзивным режимом управления стимуляцией желудочков (MVP), функцией ATP "painfree", функцией Smart Shock и предсердными терапиями.
Батарея: гибридная CFx литий-серебро.
Максимальная энергия разряда: 36 Дж.
Максимальная накопленная энергия: 42 Дж.
Режимы стимуляции: AAIR, AAI, VVIR, VVI, VOO, AAIR, AAI, AOO, ODO.
Комплект включает один электрод и один интродьюсер.
Устройство должно быть совместимо с программатором Medtronic.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кардиовертер-дефибриллятора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не менее 1,5 Тесла. Тип коннектора — DF-1/DF4.
Оснащён алгоритмом обнаружения высокого напряжения с автоматическим изменением конфигурации разряда. Должен иметь функцию обнаружения шума электрода. Высокочувствительная система с гибкой и точной настройкой параметра T. Возможность мониторинга остановок сердца. Функция антитахикардической стимуляции.
Режимы работы: VVI(R); VOO.
Комплект также включает один шоковый электрод с активной фиксацией, совместимый с МРТ, и один интродьюсер.
Устройство должно быть совместимо с программатором Biotronik.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 принадлежностями, двухжелудочковый, совместимый с МРТ. Тип коннекторов — IS-1, IS-4, DF-4. Объём устройства не более 38 см³. Имеет покрытие из парилена. Химический аккумулятор QHR.
Обеспечивает стимуляцию левого желудочка с множественными импульсами за один сердечный цикл. Должен иметь функцию обнаружения шума электрода. Высокочувствительная система с гибкой и точной настройкой параметра T.
Режимы работы: DDD(R); DDT(R); DDI(R); VVT(R); VVI(R); AAI(R); DDD; DDT; DDI; VVT; VVI; AAI; AAT; DOO; VOO; AOO.
Комплект также включает:
один электрод с активной фиксацией, совместимый с МРТ,
один шоковый электрод, совместимый с МРТ,
четырёхпроводной электрод для стимуляции левого желудочка, совместимый с МРТ,
два разрывных интродьюсера,
два катетера для доставки электрода в вену коронарного синуса.
Устройство должно быть совместимо с программатором St. Jude Medical (Abbott).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коннекторов — IS-1/IS-4/DF-4.
Режимы стимуляции: DDD(R); DDI(R); VVI(R); AAI(R); DOO; VOO; AOO.
Вес устройства не более 74 г, объём — не более 33 см³.
Комплект включает:
один предсердный электрод с активной фиксацией, совместимый с МРТ,
один шоковый электрод, совместимый с МРТ,
один четырёхпроводной/двухпроводной электрод для стимуляции левого желудочка, совместимый с МРТ,
два интродьюсера,
две системы доставки с принадлежностями.
Устройство должно быть совместимо с программатором Boston Scientific. Поставщик обязан предоставить программатор Boston Scientific.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совместимый с МРТ, с принадлежностями, двухжелудочковый.
Тип коннекторов: IS-1, IS-4, DF-4 / IS-1, IS-1, DF-1 / IS-1, IS-1, DF-4.
Габариты устройства: не более 74 мм × 51 мм × 13 мм.
Тип батареи: гибридная CFx литий-серебро-ванадий оксид.
Режимы стимуляции: DDDR; DDD; DDIR; DDI; AAIR; AAI; VVIR; VVI; DOO; AOO; VOO; ODO.
Энеретические характеристики:
Максиальная программируемая энергия: 35 Дж
Максимальная поставляемая энергия: 36 Дж
Максимальная накопленная энергия: 42 Дж
Комплект включает:
один предсердный электрод с активной фиксацией, совместимый с МРТ,
один дефибрилляционный электрод, совместимый с МРТ,
один четырёхпроводной/двухпроводной электрод для стимуляции левого желудочка, совместимый с МРТ,
два интродьюсера,
одна система доставки с двумя катетерами.
Устройство должно быть совместимо с программатором Medtronic.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кардиовертер-дефибриллятор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коннекторов: IS-1/IS-1/DF-1; IS-1/IS-4/DF-1; IS-1/IS-1/DF-4; IS-1/IS-4/DF-4.
Обеспечивает стимуляцию левого желудочка с множественными импульсами за один сердечный цикл. Должен иметь функцию обнаружения шума электрода. Высокочувствительная система с гибкой и точной настройкой параметра T.
Режимы работы: DDD(R); DDI(R); VVI(R); AAI(R); DOO; VOO; AOO.
Комплект включает:
один предсердный электрод с активной фиксацией, совместимый с МРТ,
один шоковый электрод, совместимый с МРТ,
один четырёхпроводной/двухпроводной электрод для стимуляции левого желудочка, совместимый с МРТ,
два интродьюсера,
две системы доставки с принадлежностями.
Устройство должно быть совместимо с программатором Biotronik.
Участник вместе с заявкой предоставляет изделие с авторизационным письмом (гарантийно-доверительным письмом) от производителя, а на этапе исполнения договора — сертификат происхождения и сертификат соответствия, выданные производителем.
На момент поставки срок годности изделия должен составлять не менее 2/3 от общего срока годности.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заключения дополнительного соглашения, для первого этапа — через 20 календарных дней с момента получения Заказа Покупателя; для последующих этапов поставки — в течение 3 рабочих дней с момента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