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ԱՐԲԿ-ԷԱՃԱՊՁԲ-26/4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Արթիկի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 Բաղրամյան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ԵՎ ԲԺՇԿԱԿԱՆ ՊԱՐԱԳԱՆԵՐԻ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Շախպազյան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+37477053954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saten.shahbazyan85@mail.ru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Արթիկի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ԱՐԲԿ-ԷԱՃԱՊՁԲ-26/4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Արթիկի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Արթիկի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ԵՎ ԲԺՇԿԱԿԱՆ ՊԱՐԱԳԱՆԵՐԻ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Արթիկի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ԵՎ ԲԺՇԿԱԿԱՆ ՊԱՐԱԳԱՆԵՐԻ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ԱՐԲԿ-ԷԱՃԱՊՁԲ-26/4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saten.shahbazyan85@mail.ru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ԵՎ ԲԺՇԿԱԿԱՆ ՊԱՐԱԳԱՆԵՐԻ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կաթիլ 1մգ/մլ,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500մլ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250մլ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10մգ+2,5մգ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8մգ+2,5մգ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Տրամադոլ(տրամադոլի հիդրոքլորիդ)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Sodium Citrat-ով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գելով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վակուտայների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Պլոմբանյութ  քիմիական ինքնակարծրացող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/տրոպոնինի որոշման  թեսթ-հավաքածու  /որակական/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RF /ռևմատոիդային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ASO /Հակաստրեպտոլիզին-Օ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/Աբակտերիլ/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XL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Ստերիանոս  2 %  /համապատասխան ինդիկատորով/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Արթիկի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ԱՐԲԿ-ԷԱՃԱՊՁԲ-26/4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ԱՐԲԿ-ԷԱՃԱՊՁԲ-26/4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«ԱՐԲԿ-ԷԱՃԱՊՁԲ-26/4»*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«ԱՐԲԿ-ԷԱՃԱՊՁԲ-26/4»*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ԱՐԹԻԿԻ ԲԺՇԿԱԿԱՆ ԿԵՆՏՐՈՆԻ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2026թ․ 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Դեղորայքի պիտանելիության ժամկետները գնորդին հանձնման պահին պետք է լինեն  հետևյալը․
 2,5 տարի և ավելի պիտանիության ժամկետ ունեցող դեղերը հանձնելու պահին պետք է ունենան առնվազն 24 ամիս մնացորդային պիտանիության ժամկետ,
 մինչև 2,5 տարի պիտանիության ժամկետ ունեցող դեղերը հանձնելու պահին պետք է ունենան առնվազն 12 ամիս մնացորդային պիտանիության ժամկետ,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Մատակարարը իր ուժերով և միջոցներով պետք է ապահովի ապրանքների տեղափոխումը և բեռնաթափումը։
Ապրանքը պետք է լինի  չօգտագործված:  
Պատվիրատուն իրավունք ունի տարվա ընթացքում պատվիրել պայմանագրում նշված  առավելագույն ընդհանուր  քանակից քիչ քանակ կամ էլ որոշ  դեղեր   ընդհանրապես  չպատվիրել՝ ելնելով  գնման կարիքի բացակայությունից, որը չի կարող հանգեցնել պայմանագրի    կողմերի  պարտականությունների ոչ պատշաճ    կատարման: Պայմանագրի կատարման վերջնաժամկետը լրանալուց հետո չիրացված չափաքանակների մասով պայմանագիրը կլուծարվի:
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5մգ/10մգ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կաթիլ 1մգ/մլ,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500մլ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(8.6մգ+0.3մգ+ 0.49մգ)/մլ,  250մլ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10մգ+2,5մգ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 Ինդապամիդ 8մգ+2,5մգ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Տրամադոլ(տրամադոլի հիդրոքլորիդ)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500մգ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N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Sodium Citrat-ով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գելով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վակուտայների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Պլոմբանյութ  քիմիական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/տրոպոնինի որոշման  թեսթ-հավաքածու  /որակական/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RF /ռևմատոիդային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ASO /Հակաստրեպտոլիզին-Օ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/Աբակտերիլ/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XL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Ստերիանոս  2 %  /համապատասխան ինդիկատորով/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թիվ 1 չափաբաժնում կցված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հետո՝1-ին փուլի համար /եթե մատակարարը չի համաձայնվում մատակարարել ավելի շուտ/,  մյուս փուլերի դեպքում՝յուրաքանչյուր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