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ՄԾՊՓԲԸ-ԷԱՃԱՊՁԲ-26/01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ԾՆՆԴԱՏՈՒՆ ՊՓԲԸ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Հայաստանի Հանրապետություն, Գեղարքունիքի մարզ</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ультразвукового аппарата для нужд ЗАО «Мартуни Материнский родильный дом»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sirarpih@mail.ru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+37494211395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ԾՆՆԴԱՏՈՒՆ ՊՓԲԸ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ՄԾՊՓԲԸ-ԷԱՃԱՊՁԲ-26/01</w:t>
      </w:r>
      <w:r w:rsidRPr="00E4651F">
        <w:rPr>
          <w:rFonts w:asciiTheme="minorHAnsi" w:hAnsiTheme="minorHAnsi" w:cstheme="minorHAnsi"/>
          <w:i/>
        </w:rPr>
        <w:br/>
      </w:r>
      <w:r w:rsidR="00A419E4" w:rsidRPr="00E4651F">
        <w:rPr>
          <w:rFonts w:asciiTheme="minorHAnsi" w:hAnsiTheme="minorHAnsi" w:cstheme="minorHAnsi"/>
          <w:szCs w:val="20"/>
          <w:lang w:val="af-ZA"/>
        </w:rPr>
        <w:t>2025.12.16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ԾՆՆԴԱՏՈՒՆ ՊՓԲԸ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ԾՆՆԴԱՏՈՒՆ ՊՓԲԸ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ультразвукового аппарата для нужд ЗАО «Мартуни Материнский родильный дом»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ультразвукового аппарата для нужд ЗАО «Мартуни Материнский родильный дом» в 2026 году.</w:t>
      </w:r>
      <w:r w:rsidR="00812F10" w:rsidRPr="00E4651F">
        <w:rPr>
          <w:rFonts w:cstheme="minorHAnsi"/>
          <w:b/>
          <w:lang w:val="ru-RU"/>
        </w:rPr>
        <w:t xml:space="preserve">ДЛЯ НУЖД </w:t>
      </w:r>
      <w:r w:rsidR="0039665E" w:rsidRPr="0039665E">
        <w:rPr>
          <w:rFonts w:cstheme="minorHAnsi"/>
          <w:b/>
          <w:u w:val="single"/>
          <w:lang w:val="af-ZA"/>
        </w:rPr>
        <w:t>ՄԱՐՏՈՒՆՈՒ ԾՆՆԴԱՏՈՒՆ ՊՓԲԸ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ՄԾՊՓԲԸ-ԷԱՃԱՊՁԲ-26/01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sirarpih@mail.ru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ультразвукового аппарата для нужд ЗАО «Мартуни Материнский родильный дом»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445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10:35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ՄԾՊՓԲԸ-ԷԱՃԱՊՁԲ-26/01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ԾՆՆԴԱՏՈՒՆ ՊՓԲԸ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ՄԾՊՓԲԸ-ԷԱՃԱՊՁԲ-26/01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ՄԾՊՓԲԸ-ԷԱՃԱՊՁԲ-26/01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ՄԾՊՓԲԸ-ԷԱՃԱՊՁԲ-26/01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Стационарная ультразвуковая система экспертного класса с 4 датчиками и источником бесперебойного питания
Области применения: Стационарная ультразвуковая система, предназначенная для многопрофильной диагностики. Система должна обеспечивать высококачественную визуализацию в следующих областях: обследование брюшной полости, акушерство, гинекология, опорно-двигательная система, урология, поверхностные органы и структуры, педиатрия, неонатология, онкология;
Мониторы: Светодиодный монитор высокой четкости: не менее 23 дюймов; Разрешение: не менее 1920 x 1080
Регулировка панели управления: Вращение и наклон в горизонтальной плоскости; Регулировка высоты панели управления
Сенсорный экран для выполнения команд: не менее 13,3 дюймов
Для управления функциями ультразвукового аппарата и обеспечения быстрой работы во время исследования предусмотрена клавиатура;
Специализированные программные пакеты (не менее): исследования брюшной полости, поверхностных органов и структур, опорно-двигательной системы, акушерства, протокола мониторинга внутриутробного развития плода, гинекологии, педиатрии, урологии, онкологии, неонатологии.
Программа для поддержки триплексного режима: В+CFM+PW, B+PD+PW, B+TVI+TDI.
Программа для фильтрации изображений в реальном времени, детальной обработки изображений, удаления артефактов и улучшения контуров; программа для выявления пороков развития матки; автоматическое измерение основных биометрических параметров плода; программа для количественной и качественной эластографии; программа для автоматического обнаружения и анализа опухолей молочной железы; программа для автоматического обнаружения и анализа опухолей щитовидной железы; наличие программы для диагностики дефектов головного мозга плода, поражений мягких тканей различной плотности, дефектов стенок и клапанов сердца плода. Наличие программы для оценки плода и матки, идентификации мягких тканей и костей, а также воспроизведения трехмерной анатомии плода; наличие программы для сканирования в статическом 3D и 4D режиме реального времени с использованием объемных датчиков; наличие программы для одновременного просмотра нескольких объемных срезов трехмерного исследуемого объекта; ультразвуковая оценка риска опухолей яичников; автоматическое определение и измерение основных параметров матки; программа для объемной динамической визуализации сердца плода; программа для автоматического измерения индекса Тиа правого и левого желудочков сердца плода; программа для автоматического измерения толщины воротниковой складки плода по срединно-сагиттальной линии; наличие программы для автоматического определения и измерения длинных костей плода в режиме объемного сканирования;
наличие программы для анализа мягких тканей конечностей плода в режиме объемного сканирования; наличие двухмерной и трехмерной программы объемного сканирования для автоматического определения и измерения объемов фолликулов; Наличие программы для автоматизации и записи этапов ультразвукового исследования: заводские протоколы и редактор пользовательских протоколов; автоматическое заполнение аннотаций, переключение режимов сканирования и активация измерений;
Наличие программы для автоматической оптимизации изображения в B-режиме на основе акустических свойств тканей; Наличие программы для автоматической оптимизации изображения в режиме цветового картирования; Наличие программы для автоматической оптимизации доплеровского спектра: автоматическая коррекция базовой линии; автоматическая коррекция PRF; автоматическая коррекция угла; автоматическая инверсия спектра; Наличие программы для доступа к необработанным «сырым» ультразвуковым данным для дальнейшей оптимизации изображения;
Наличие программы для архивирования и цифровой обработки ультразвуковых изображений; составление архивов пациентов; сохранение статических и динамических изображений в формате Raw DICOM; постобработка ранее сохраненных изображений; выполнение измерений и расчетов; вывод исследовательских отчетов; сохранение ультразвуковых изображений на USB-накопитель; сохранение статических и динамических изображений в стандартных форматах (AVI, MPEG, JPEG, BMP, TIFF, DICOM); Наличие программы для просмотра архивных статических изображений и видеороликов на внешней рабочей станции; наличие программы для настройки и персонализации отчетов об ультразвуковом исследовании с возможностью размещения изображений и диаграмм на ультразвуковом аппарате;
частота не менее 4000 кадров/секунду; количество каналов обработки не менее 700000; динамический диапазон не менее 256 дБ; глубина сканирования не менее 50 см; полный частотный диапазон системы не менее 1,7-22 МГц;
количество портов подключения датчиков: не менее 4;
Датчики:
Должен быть 1 выпуклый датчик;
Количество элементов: Процесс закупок организован на основании статьи 15, пункта 6 Закона РА «О закупках». Если договор заключается на основании статьи 15, пункта 6 Закона РА «О закупках», то в случае, если предусмотрены финансовые ресурсы, между сторонами заключается соглашение, являющееся неотъемлемой частью договора. Во всех случаях ссылок на технические характеристики они понимаются в соответствии со статьей 12, пунктом 5 Закона РА «О закупках» или эквивалентной статьей. Срок поставки составляет 60 календарных дней с даты заключения соглашения, являющегося неотъемлемой частью договора.
Поставка товаров – транспортировка, разгрузка и транспортировка на соответствующий склад в течение 2026 года – осуществляется силами и средствами Подрядчика. Место поставки: К. Мартони Нарекаци, 2, ЗАО «Родительный дом Мартуни».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նախատեսվում է գնել 2026թվականին ընթացքում ,պայմանագրի անբաժանելի մաս հանդիասցող հանաձայանագիրը կնքելուց հետո սահմանված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