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Марзпетаран Арагацотна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Город Арагацотн ра ул. Вардгеса Петросяна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регуляторного бензина для нужд аппарата губернатора Арагацотнской области РА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Тоноян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tatevik100888@gmail.com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 3-23-72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Марзпетаран Арагацотна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Марзпетаран Арагацотна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Марзпетаран Арагацотна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регуляторного бензина для нужд аппарата губернатора Арагацотнской области РА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регуляторного бензина для нужд аппарата губернатора Арагацотнской области РА на 2026 год</w:t>
      </w:r>
      <w:r w:rsidR="00812F10" w:rsidRPr="00E4651F">
        <w:rPr>
          <w:rFonts w:cstheme="minorHAnsi"/>
          <w:b/>
          <w:lang w:val="ru-RU"/>
        </w:rPr>
        <w:t xml:space="preserve">ДЛЯ НУЖД </w:t>
      </w:r>
      <w:r w:rsidR="0039665E" w:rsidRPr="0039665E">
        <w:rPr>
          <w:rFonts w:cstheme="minorHAnsi"/>
          <w:b/>
          <w:u w:val="single"/>
          <w:lang w:val="af-ZA"/>
        </w:rPr>
        <w:t>Марзпетаран Арагацотна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tatevik100888@gmail.com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регуляторного бензина для нужд аппарата губернатора Арагацотнской области РА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Марзпетаран Арагацотна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ՀՀԱՄ-ԷԱՃԱՊՁԲ-26/02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ՀՀԱՄ-ԷԱՃԱՊՁԲ-26/02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 C: от 720 до 775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(С5 и более)-15%, прочие окислители-10 %,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Аштарак Вардгес Петросян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