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կարքիների համար դեղորայքի ձեռբերման նպատակով հայտարարված  ՀՀԱՆՇՕԾ-ԷԱՃԱՊՁԲ-2026/3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կարքիների համար դեղորայքի ձեռբերման նպատակով հայտարարված  ՀՀԱՆՇՕԾ-ԷԱՃԱՊՁԲ-2026/3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կարքիների համար դեղորայքի ձեռբերման նպատակով հայտարարված  ՀՀԱՆՇՕԾ-ԷԱՃԱՊՁԲ-2026/3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կարքիների համար դեղորայքի ձեռբերման նպատակով հայտարարված  ՀՀԱՆՇՕԾ-ԷԱՃԱՊՁԲ-2026/3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 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ԱՄ/5մլ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դիքլորիզոցիանուրատ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α-բրոմիզովալերիանաթթվի էթիլային եթեր,նատրիումի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էտակրիդին լակտատ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1,0 մգ/մլ,1մլ ամպուլներ բլիստերում , 10/2x5/),1մլ ամպուլներ / / 5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լուծույթ ներարկման 50մգ/մլ; (6)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10 %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(10) ամպուլներ 2մլ CAMA, (10) ամպուլներ 2մլ պիտակ բանդերոլ,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 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0,1%  1մլ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 40%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լուծույթ կաթիլաներարկման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 4մգ/մլ; (25/5x5/)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նատրիում)diclofenac (diclofenac sodium) լուծույթ մ/մ և ն/ե ներարկման25մգ/մլ, 3մլ ամպուլներ, բլիստերում (5, 5/1x5/)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հիդրոքլորիդ)լուծույթ ներարկման 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 ներարկման 24մգ/մլ; (10) ամպուլներ 5մլ, պիտակ բանդերոլ,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ներարկման20մգ/մլ, 2մլ ամպուլներ(10)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 և մ/մ ներարկման 50մգ/մլ, 2մլ ամպուլներ բլիստերում (5/1x5/,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ԱՄ/5մլ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ե/մ ևն/ե ներարկման 5000ՄՄ/մլ, 5մլ ապակե սրվակներ (5) ,ռետինե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ներարկման250մգ/մլ,5մլ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հիդրոքլորիդ)լուծույթ մ/մ, ն/ե և ե/մ ներարկման10մգ/մլ,1մլ ամպուլներ (10/1x10/,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հիդրոքլորիդ)լուծույթներարկման5մգ/մլ, 2մլ ամպուլներ, բլիստերում (10,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0.4մգ N14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ներարկման լուծույթ10մգ/մլ,1մլ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10մգ/մլ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համար,
 100մգ/մլ, 100մլ,օժանդակ նյութեր՝ նատրիումի երկհիմն ֆոսֆատ,կիտրոնաթթու,գլիցերին, նոնօքսինոլ 9, մաքրված ջուր ։Պովիդոն յոդ povidone-iodine լուծույթ արտաքին կիրառման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կաթիլաներարկման8,6մգ/մլ+0,3մգ/մլ+0,49մգ/մլ;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լուծույթ մ/մ ներարկման 2500մգ/5մլ+10մգ/5մլ+0,1մգ/5մլ; (10) ամպուլներ 5մլ պիտակ բանդերոլ, (10) ամպուլներ 5մլ դիվիդելլա,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հիդրոքլորիդ)լուծույթ ներարկման/ կաթիլաներարկման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ներարկման10մգ/մլ, 2մլ ամպուլներ(10), 2մլ ամպուլներ պիտակ բանդերոլ (10),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10մգ/2մլ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լուծույթ արտաքին կիրառման 3% `: Մատակարարումը իրականացվում է 100 մլ ապակյա շշիկներով: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դեղաչափավորված 0,4մգ / դեղաչափ, 10 գրամ ալյումինե տարա -180դեղաչափ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դհտ 250մգ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բաղադրանյութ՝ մետոպրոլոլի տարտրատ՝ 25 մգ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(քլորպիրամինի  հիդրոքլորիդ) լուծույթ ն/ե և մ/մ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ներարկման լուծույթ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սպիրտային լուծույթ 30մլ,արտաքին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դիքլորիզոցիանուրատ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սպիտակ գույնի, կլոր հաբերի տեսքով 3,4±0,2 գրամ քաշով: Որպես ակտիվ նյութ պարունակում է  80% երկքլորիզոցիանուրոնային թթվի նատրիումական աղ(դիքլորիզոցիանուրոնային թթվի նատրիումական աղ),որտեղ ակտիվ քլորի քանակը կազմում է 45,0% (1,53գր): Ախտահանիչ միջոցը փաթեթավորված է  1կգ  քաշով պոլիմերային տարաներում: Ախտահանիչ միջոցի պիտանելիության  ժամկետը  5 տարի է: Աշխատանքային լուծույթի պիտանելիության ժամկետը 3 օր է :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(40/4*10)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ամպուլաներ,լուծույթ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լուծույթմ/մ ներարկման 30մգ/մլ 1մլ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լուծույթ ներարկման 2մգ/մլ 1 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լուծույթ ներարկման 20մգ/մլ 2մլ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20%, լուծույթ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200մգ/մլ,ապակե սրվակ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1լ ապակե կամ պլաստիկե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դեղահատեր ենթալեզվային 60մգ; (10), (6/1x6) և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α-բրոմիզովալերիանաթթվի էթիլային եթեր,նատրիումի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α-բրոմիզովալերիանաթթվի էթիլային եթեր – 20գ,նատրիումի ֆենոբարբիտալ – 18.26գ, անանուխի յուղ – 1.4գ, էթիլ սպիրտ – 58մլ, 25 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 սրվակով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30մլ,նախատեսված քթի խոռոչի լվացման և խոնավեցման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էտակրիդին լակտատ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էտակրիդին լակտատ 0.1գ Ցուցաբերում է հակամանրէային ազդեցություն, գլխավորապես կոկերի, հատկապես՝ ստրեպտոկոկերի հարուցած վարակների դեպքում: 100 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Որպես ազդող նյութեր՝ միջոցն իրկազմում պետք է պարունակի  N,N- բիս- (3-ամինոպրոպիլ) դոդեցիլամին՝ ոչ պակաս  0,15%, ալկիլդիմեթիլբենզիլամոնիումի քլորիդ ՝ ոչ պակաս  0,2%, պոլիհեքսամեթիլենգուանիդինի հիդրոքլորիդ՝ ոչ պակաս   0,2%, ինչպես նաև մաշկը խոնավացնող ևխնամող բաղադրիչներ, ֆունկցիոնալ հավելումներ, ապաիոնիզացված ջուր:  Չպարունակի սպիրտ:  Ախտահանիչ նյութն օժտված է հակամանրէայինակտիվությամբ գրամդրական և գրամբացասականմանրէների (ներառյալ՝ տուբերկուլյոզիմիկոբակտերիաները), վիրուսների (ներառյալարտաընդերային հեպատիտները, ՄԻԱՎ-վարակը, պոլիոմիելիտը, A գրիպի H5N1,  H1N1տեսակները), սնկերի (այդ թվում` կանդիդա և դերմատոֆիտիա) նկատմամբ և այլ մանրէների նկատմամբ:Հակաբակտերիալ ազդեցությունը` մինչև 3 րոպե,     Հակավիրուսային ազդեցությունը` մինչև 5րոպե, Հակատուբերկուլյոզային ազդեցությունը` մինչև 15րոպե։    Փաթեթավուրումը - 750 միլիլիտր ցողացրիչանվտանգության փականով: Ախտահանիչ նյութի pH-5,0-7,0։   Նախատեսված է հիվանդանոցային ևարտահիվանդանոցային  բժշկական օգնություն ևսպասարկում իրականացնողկազմակերպություններում (մանկաբարձականստացիոնարներում, այդ թվում` նեոնատոլոգիայիբաժանմունքներում, ատամնաբուժականկաբինետներում, տարբեր լաբորատորիաներում(կլինիկական, մանրէաբանական և այլ), շտապօգնության  կայաններում և այլն), բոլոր տեսակի սանիտարական տրանսպորտներում, այդ թվում շտապօգնության մեքենաներում, արտակարգ իրավիճակների և տարերային աղետների գոտում՝ փոքր մակերես ունեցող առարկաների, սանիտարատեխնիկական սարքավորումների, բժշկական սարքավորումների (այդ թվում` կուվեզներ) ևայլ  մակերեսների ախտահանման և  մաքրման համար։Նյութը նախատեսված լինի նաև, որպես մաշկային հականեխիչ, պացիենտների ներարկային դաշտի մաշկի մշակման համար, ձեռքերի և մաշկի կանխարգելիչ մշակման համար՝ գրիպի վիրուսի օջախում և այլն։ Վտանգավորության աստիճանը- 4-րդ, 5-րդ դաս:   Ունենա որակի հավաստագիր, ՀՀ ԱՆկսղմից հաստատված օգտագործման հրահանգ, որը ներկայացնել գնման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200մլ, նախատեսված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  58գ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0.025% 1մլ N10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