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ՀՀ-ՊԵԿ-ԷԱՃԱՊՁԲ-26/10-Ա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электрических товаров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ՀՀ-ՊԵԿ-ԷԱՃԱՊՁԲ-26/10-Ա</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электрических товаров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электрических товаров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ՀՀ-ՊԵԿ-ԷԱՃԱՊՁԲ-26/10-Ա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электрических товаров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автомобильного аккумулятора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ՀՀ-ՊԵԿ-ԷԱՃԱՊՁԲ-26/10-Ա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Комитет государственных доходов Республики Армения</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ՀՀ-ՊԵԿ-ԷԱՃԱՊՁԲ-26/10-Ա</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ՀՀ-ՊԵԿ-ԷԱՃԱՊՁԲ-26/10-Ա</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"ՀՀ-ՊԵԿ-ԷԱՃԱՊՁԲ-26/10-Ա"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ՀՀ-ՊԵԿ-ԷԱՃԱՊՁԲ-26/10-Ա*.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"ՀՀ-ՊԵԿ-ԷԱՃԱՊՁԲ-26/10-Ա"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ՀՀ-ՊԵԿ-ԷԱՃԱՊՁԲ-26/10-Ա*.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ՀՀ-ՊԵԿ-ԷԱՃԱՊՁԲ-26/10-Ա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предназначен для влажной и сухой уборки. Мощность: не менее 1200 Вт. Напряжение: 220-240 В/50-60 Гц. Объём контейнера: не менее 20 л. Длина кабеля: не менее 6 м. Материал контейнера: пластик. Уровень звукового давления: не менее 70-72 дБ. 
Аксессуары всасывающий шланг 1,9 м, изогнутая пластиковая насадка,
2 всасывающие трубы – 500-510 мм, пластик,
1 флисовый фильтр-мешок, насадка для влажной/сухой уборки пола - 300 мм, насадка для узких пространств, картриджный фильтр PES
очистка фильтра, полуавтоматическая очистка фильтра Ap, класс защиты II, тормозное вращающееся колесо․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счет.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Угловая шлифовальная машина (болгарка)
Тип: угловая шлифовальная машина с регулятором скорости (болгарка)
Мощность- не менее 900 Вт
Частота вращения - не менее 12000 об/мин
Напряжение- 220-240 В ~ 50-60 Гц
Отверстие для крепления диска - M14 (22,2 мм)
Диаметр диска - 125 мм 
В комплект входят дополнительная рукоятка, плоская отвертка и защитный чехол.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счет.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зарядное устройство для автомобильного аккумулятора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Автомобильное зарядное устройство
Напряжение зарядки - 6/12 В
Входное напряжение - 1~220-240 В
Частота - 50/60 Гц
Номинальный ток - не менее 6 А
Ёмкость - 40-90 А·ч
Тип изоляции - H
Вес - не менее 3 кг.
Другие условия:
*Процедура осуществляется в соответствии с частью 6 статьи 15 Закона РА «О закупках»․
** Поставляемый товар должен быть новым – неиспользованным․ 
***Перевозка и отгрузка товара осуществляется поставщиком за свой счет. 
****Участник должен предоставить информацию о торговой марке, модели и производителе предлагаемого товара.
*****На все партии устанавливается гарантийный срок 365 календарных дней со дня, следующего за днем получения товара потребителем.В целях осуществления гарантийного обслуживания осуществляется двусторонняя транспортировка и разгрузка товара. поставщик за свой счет и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КГД РА, г.Ереван, М. Хоренаци,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дня следующего за днем вступления договора в течение 25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