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70660" w14:textId="77777777" w:rsidR="00DD186B" w:rsidRPr="00DD186B" w:rsidRDefault="00DD186B" w:rsidP="00DD186B">
      <w:pPr>
        <w:pStyle w:val="ac"/>
        <w:numPr>
          <w:ilvl w:val="0"/>
          <w:numId w:val="1"/>
        </w:numPr>
        <w:jc w:val="both"/>
        <w:rPr>
          <w:rFonts w:ascii="GHEA Grapalat" w:hAnsi="GHEA Grapalat" w:cs="Sylfaen"/>
          <w:b/>
          <w:iCs/>
          <w:lang w:val="pt-BR" w:eastAsia="en-US"/>
        </w:rPr>
      </w:pPr>
      <w:r w:rsidRPr="00DD186B">
        <w:rPr>
          <w:rFonts w:ascii="GHEA Grapalat" w:hAnsi="GHEA Grapalat" w:cs="Sylfaen"/>
          <w:b/>
          <w:iCs/>
          <w:lang w:val="pt-BR" w:eastAsia="en-US"/>
        </w:rPr>
        <w:t>* բժշկական նշանակության արանքների պիտանիության ժամկետները գնորդին հանձնման պահին պետք է լինեն հետևյալը`</w:t>
      </w:r>
    </w:p>
    <w:p w14:paraId="036C6553" w14:textId="77777777" w:rsidR="00DD186B" w:rsidRPr="00DD186B" w:rsidRDefault="00DD186B" w:rsidP="00DD186B">
      <w:pPr>
        <w:pStyle w:val="ac"/>
        <w:numPr>
          <w:ilvl w:val="0"/>
          <w:numId w:val="1"/>
        </w:numPr>
        <w:jc w:val="both"/>
        <w:rPr>
          <w:rFonts w:ascii="GHEA Grapalat" w:hAnsi="GHEA Grapalat" w:cs="Sylfaen"/>
          <w:b/>
          <w:iCs/>
          <w:lang w:val="pt-BR" w:eastAsia="en-US"/>
        </w:rPr>
      </w:pPr>
      <w:r w:rsidRPr="00DD186B">
        <w:rPr>
          <w:rFonts w:ascii="GHEA Grapalat" w:hAnsi="GHEA Grapalat" w:cs="Sylfaen"/>
          <w:b/>
          <w:iCs/>
          <w:lang w:val="pt-BR" w:eastAsia="en-US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14:paraId="7077C976" w14:textId="77777777" w:rsidR="00DD186B" w:rsidRPr="00DD186B" w:rsidRDefault="00DD186B" w:rsidP="00DD186B">
      <w:pPr>
        <w:pStyle w:val="ac"/>
        <w:numPr>
          <w:ilvl w:val="0"/>
          <w:numId w:val="1"/>
        </w:numPr>
        <w:jc w:val="both"/>
        <w:rPr>
          <w:rFonts w:ascii="GHEA Grapalat" w:hAnsi="GHEA Grapalat" w:cs="Sylfaen"/>
          <w:b/>
          <w:iCs/>
          <w:lang w:val="pt-BR" w:eastAsia="en-US"/>
        </w:rPr>
      </w:pPr>
      <w:r w:rsidRPr="00DD186B">
        <w:rPr>
          <w:rFonts w:ascii="GHEA Grapalat" w:hAnsi="GHEA Grapalat" w:cs="Sylfaen"/>
          <w:b/>
          <w:iCs/>
          <w:lang w:val="pt-BR" w:eastAsia="en-US"/>
        </w:rPr>
        <w:t>բ. մինչև 2,5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ամիս,</w:t>
      </w:r>
    </w:p>
    <w:p w14:paraId="3E78A96E" w14:textId="77777777" w:rsidR="00DD186B" w:rsidRPr="00DD186B" w:rsidRDefault="00DD186B" w:rsidP="00DD186B">
      <w:pPr>
        <w:pStyle w:val="ac"/>
        <w:numPr>
          <w:ilvl w:val="0"/>
          <w:numId w:val="1"/>
        </w:numPr>
        <w:jc w:val="both"/>
        <w:rPr>
          <w:rFonts w:ascii="GHEA Grapalat" w:hAnsi="GHEA Grapalat" w:cs="Sylfaen"/>
          <w:b/>
          <w:iCs/>
          <w:lang w:val="pt-BR" w:eastAsia="en-US"/>
        </w:rPr>
      </w:pPr>
      <w:r w:rsidRPr="00DD186B">
        <w:rPr>
          <w:rFonts w:ascii="GHEA Grapalat" w:hAnsi="GHEA Grapalat" w:cs="Sylfaen"/>
          <w:b/>
          <w:iCs/>
          <w:lang w:val="pt-BR" w:eastAsia="en-US"/>
        </w:rPr>
        <w:t xml:space="preserve">գ. առանձին դեպքերում, այն է` հիվանդների անհետաձգելի պահանջի բավարարման հիմնավորված անհրաժեշտությունը, բժշկական նշանակության արանքների սպառման համար սահմանված պիտանիության կարճ ժամկետները, բժշկական նշանակության արանքները հանձնման պահին կարող է ունենալ դբժշկական նշանակության արանքների ընդհանուր պիտանիության ժամկետի առնվազն մեկ երկրորդը:  </w:t>
      </w:r>
    </w:p>
    <w:p w14:paraId="3608BAA7" w14:textId="77777777" w:rsidR="00DD186B" w:rsidRPr="00DD186B" w:rsidRDefault="00DD186B" w:rsidP="00DD186B">
      <w:pPr>
        <w:pStyle w:val="ac"/>
        <w:ind w:left="720"/>
        <w:jc w:val="both"/>
        <w:rPr>
          <w:rFonts w:ascii="GHEA Grapalat" w:hAnsi="GHEA Grapalat" w:cs="Sylfaen"/>
          <w:b/>
          <w:iCs/>
          <w:lang w:val="pt-BR" w:eastAsia="en-US"/>
        </w:rPr>
      </w:pPr>
      <w:r w:rsidRPr="00DD186B">
        <w:rPr>
          <w:rFonts w:ascii="GHEA Grapalat" w:hAnsi="GHEA Grapalat" w:cs="Sylfaen"/>
          <w:b/>
          <w:iCs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07ED5C68" w14:textId="77777777" w:rsidR="00DD186B" w:rsidRPr="00DD186B" w:rsidRDefault="00DD186B" w:rsidP="00DD186B">
      <w:pPr>
        <w:pStyle w:val="ac"/>
        <w:ind w:left="720"/>
        <w:jc w:val="both"/>
        <w:rPr>
          <w:rFonts w:ascii="GHEA Grapalat" w:hAnsi="GHEA Grapalat" w:cs="Sylfaen"/>
          <w:b/>
          <w:iCs/>
          <w:lang w:val="pt-BR" w:eastAsia="en-US"/>
        </w:rPr>
      </w:pPr>
    </w:p>
    <w:p w14:paraId="37FEBD0D" w14:textId="77777777" w:rsidR="00DD186B" w:rsidRPr="00DD186B" w:rsidRDefault="00DD186B" w:rsidP="00DD186B">
      <w:pPr>
        <w:pStyle w:val="ac"/>
        <w:ind w:left="720"/>
        <w:jc w:val="both"/>
        <w:rPr>
          <w:rFonts w:ascii="GHEA Grapalat" w:hAnsi="GHEA Grapalat" w:cs="Sylfaen"/>
          <w:b/>
          <w:iCs/>
          <w:lang w:val="pt-BR" w:eastAsia="en-US"/>
        </w:rPr>
      </w:pPr>
      <w:r w:rsidRPr="00DD186B">
        <w:rPr>
          <w:rFonts w:ascii="GHEA Grapalat" w:hAnsi="GHEA Grapalat" w:cs="Sylfaen"/>
          <w:b/>
          <w:iCs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42A76933" w14:textId="77777777" w:rsidR="00DD186B" w:rsidRPr="00DD186B" w:rsidRDefault="00DD186B" w:rsidP="00DD186B">
      <w:pPr>
        <w:pStyle w:val="ac"/>
        <w:ind w:left="720"/>
        <w:jc w:val="both"/>
        <w:rPr>
          <w:rFonts w:ascii="GHEA Grapalat" w:hAnsi="GHEA Grapalat" w:cs="Sylfaen"/>
          <w:b/>
          <w:iCs/>
          <w:lang w:val="pt-BR" w:eastAsia="en-US"/>
        </w:rPr>
      </w:pPr>
    </w:p>
    <w:p w14:paraId="2B50A5B6" w14:textId="167B03A2" w:rsidR="00DD186B" w:rsidRDefault="00DD186B" w:rsidP="00DD186B">
      <w:pPr>
        <w:pStyle w:val="ac"/>
        <w:ind w:left="720"/>
        <w:jc w:val="both"/>
        <w:rPr>
          <w:rFonts w:ascii="GHEA Grapalat" w:hAnsi="GHEA Grapalat" w:cs="Sylfaen"/>
          <w:b/>
          <w:iCs/>
          <w:lang w:val="pt-BR" w:eastAsia="en-US"/>
        </w:rPr>
      </w:pPr>
      <w:r w:rsidRPr="00DD186B">
        <w:rPr>
          <w:rFonts w:ascii="GHEA Grapalat" w:hAnsi="GHEA Grapalat" w:cs="Sylfaen"/>
          <w:b/>
          <w:iCs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անվանումը» սյունակը:</w:t>
      </w:r>
    </w:p>
    <w:p w14:paraId="0FCFCEBD" w14:textId="77777777" w:rsidR="00DD186B" w:rsidRDefault="00DD186B" w:rsidP="00DD186B">
      <w:pPr>
        <w:pStyle w:val="ac"/>
        <w:ind w:left="720"/>
        <w:jc w:val="both"/>
        <w:rPr>
          <w:rFonts w:ascii="GHEA Grapalat" w:hAnsi="GHEA Grapalat" w:cs="Sylfaen"/>
          <w:b/>
          <w:iCs/>
          <w:lang w:val="pt-BR" w:eastAsia="en-US"/>
        </w:rPr>
      </w:pPr>
    </w:p>
    <w:p w14:paraId="2B7B9C53" w14:textId="4FF1F1A3" w:rsidR="00DD186B" w:rsidRPr="00DD186B" w:rsidRDefault="00DD186B" w:rsidP="00DD186B">
      <w:pPr>
        <w:pStyle w:val="ac"/>
        <w:ind w:left="720" w:firstLine="720"/>
        <w:jc w:val="both"/>
        <w:rPr>
          <w:rFonts w:ascii="GHEA Grapalat" w:hAnsi="GHEA Grapalat" w:cs="Sylfaen"/>
          <w:b/>
          <w:iCs/>
          <w:lang w:val="pt-BR" w:eastAsia="en-US"/>
        </w:rPr>
      </w:pPr>
      <w:r w:rsidRPr="00DD186B">
        <w:rPr>
          <w:rFonts w:ascii="GHEA Grapalat" w:hAnsi="GHEA Grapalat" w:cs="Sylfaen"/>
          <w:b/>
          <w:iCs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028EAFA" w14:textId="77777777" w:rsidR="00DD186B" w:rsidRPr="00DD186B" w:rsidRDefault="00DD186B" w:rsidP="00DD186B">
      <w:pPr>
        <w:pStyle w:val="ac"/>
        <w:ind w:left="720"/>
        <w:jc w:val="both"/>
        <w:rPr>
          <w:rFonts w:ascii="GHEA Grapalat" w:hAnsi="GHEA Grapalat" w:cs="Sylfaen"/>
          <w:b/>
          <w:iCs/>
          <w:lang w:val="pt-BR" w:eastAsia="en-US"/>
        </w:rPr>
      </w:pPr>
      <w:r w:rsidRPr="00DD186B">
        <w:rPr>
          <w:rFonts w:ascii="GHEA Grapalat" w:hAnsi="GHEA Grapalat" w:cs="Sylfaen"/>
          <w:b/>
          <w:iCs/>
          <w:lang w:val="pt-BR" w:eastAsia="en-US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7CCB55F4" w14:textId="77777777" w:rsidR="00DD186B" w:rsidRPr="00DD186B" w:rsidRDefault="00DD186B" w:rsidP="00DD186B">
      <w:pPr>
        <w:pStyle w:val="ac"/>
        <w:ind w:left="720"/>
        <w:jc w:val="both"/>
        <w:rPr>
          <w:rFonts w:ascii="GHEA Grapalat" w:hAnsi="GHEA Grapalat" w:cs="Sylfaen"/>
          <w:b/>
          <w:iCs/>
          <w:lang w:val="pt-BR" w:eastAsia="en-US"/>
        </w:rPr>
      </w:pPr>
      <w:r w:rsidRPr="00DD186B">
        <w:rPr>
          <w:rFonts w:ascii="GHEA Grapalat" w:hAnsi="GHEA Grapalat" w:cs="Sylfaen"/>
          <w:b/>
          <w:iCs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5828A214" w14:textId="323AD7F1" w:rsidR="004B72F3" w:rsidRPr="00DD186B" w:rsidRDefault="00DD186B" w:rsidP="00DD186B">
      <w:pPr>
        <w:pStyle w:val="ac"/>
        <w:ind w:left="720"/>
        <w:jc w:val="both"/>
        <w:rPr>
          <w:rFonts w:ascii="GHEA Grapalat" w:hAnsi="GHEA Grapalat"/>
          <w:iCs/>
          <w:lang w:val="pt-BR"/>
        </w:rPr>
      </w:pPr>
      <w:r w:rsidRPr="00DD186B">
        <w:rPr>
          <w:rFonts w:ascii="GHEA Grapalat" w:hAnsi="GHEA Grapalat" w:cs="Sylfaen"/>
          <w:b/>
          <w:iCs/>
          <w:lang w:val="pt-BR" w:eastAsia="en-US"/>
        </w:rPr>
        <w:t xml:space="preserve">     Բժշկական նշանակության ապրանքների մատակարարման բեռնափոխադրումը մինչև ներհիվանդանոցային դեղատուն իրականացվում է մատակարարի կողմից:</w:t>
      </w:r>
    </w:p>
    <w:sectPr w:rsidR="004B72F3" w:rsidRPr="00DD186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1275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2F3"/>
    <w:rsid w:val="004B72F3"/>
    <w:rsid w:val="00C45043"/>
    <w:rsid w:val="00DD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F2338"/>
  <w15:chartTrackingRefBased/>
  <w15:docId w15:val="{6956F86C-2855-4083-8BFD-0C898606D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72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72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72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72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72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72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72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72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72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72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72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72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72F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72F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72F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72F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72F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72F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72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B72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72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72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72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72F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72F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B72F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72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B72F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B72F3"/>
    <w:rPr>
      <w:b/>
      <w:bCs/>
      <w:smallCaps/>
      <w:color w:val="2F5496" w:themeColor="accent1" w:themeShade="BF"/>
      <w:spacing w:val="5"/>
    </w:rPr>
  </w:style>
  <w:style w:type="paragraph" w:styleId="ac">
    <w:name w:val="footnote text"/>
    <w:basedOn w:val="a"/>
    <w:link w:val="ad"/>
    <w:semiHidden/>
    <w:rsid w:val="00DD186B"/>
    <w:pPr>
      <w:spacing w:after="0" w:line="240" w:lineRule="auto"/>
    </w:pPr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character" w:customStyle="1" w:styleId="ad">
    <w:name w:val="Текст сноски Знак"/>
    <w:basedOn w:val="a0"/>
    <w:link w:val="ac"/>
    <w:semiHidden/>
    <w:rsid w:val="00DD186B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103-Op1</cp:lastModifiedBy>
  <cp:revision>2</cp:revision>
  <dcterms:created xsi:type="dcterms:W3CDTF">2025-12-26T09:40:00Z</dcterms:created>
  <dcterms:modified xsi:type="dcterms:W3CDTF">2025-12-26T09:53:00Z</dcterms:modified>
</cp:coreProperties>
</file>