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ՀՀ-ՊԵԿ-ԷԱՃԱՊՁԲ-26/13-Ք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ՀՀ-ՊԵԿ-ԷԱՃԱՊՁԲ-26/13-Ք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ՀՀ-ՊԵԿ-ԷԱՃԱՊՁԲ-26/13-Ք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ՀՀ-ՊԵԿ-ԷԱՃԱՊՁԲ-26/13-Ք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ՀՀ-ՊԵԿ-ԷԱՃԱՊՁԲ-26/13-Ք</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«ՀՀ-ՊԵԿ-ԷԱՃԱՊՁԲ-26/13-Ք»*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ՀՀ-ՊԵԿ-ԷԱՃԱՊՁԲ-26/13-Ք*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«ՀՀ-ՊԵԿ-ԷԱՃԱՊՁԲ-26/13-Ք»*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ՀՀ-ՊԵԿ-ԷԱՃԱՊՁԲ-26/13-Ք*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 R16C: Նախատեսված 2011, 2013 և 2015 թթ․ արտադրության Միցուբիշի Լ-200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թվականի:Այլ պայմաններ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1-ից 4-րդ չափաբաժիններով ապրանքների փոխարինումը և անվահեծերի կարգաբերումը իրականացվում է Մատակարարի կողմից՝ ըստ Պատվիրատուի պահանջի, Երևան քաղաքում:
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 R17: Նախատեսված 2010 և 2015 թթ․ արտադրության Ռավ-4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թվականի:Այլ պայմաններ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1-ից 4-րդ չափաբաժիններով ապրանքների փոխարինումը և անվահեծերի կարգաբերումը իրականացվում է Մատակարարի կողմից՝ ըստ Պատվիրատուի պահանջի, Երևան քաղաքում: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245/70 R16: Նախատեսված 2015 թ․ արտադրության Ուազ-Պատրիոտ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թվականի:Այլ պայմաններ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1-ից 4-րդ չափաբաժիններով ապրանքների փոխարինումը և անվահեծերի կարգաբերումը իրականացվում է Մատակարարի կողմից՝ ըստ Պատվիրատուի պահանջի, Երևան քաղաքում: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 R16C: Նախատեսված 2015թ․ արտադրության Գազ А63R42, A21R22 և A27840-B մակնիշի ուղևորատար և բեռնատար ավտոմեքենաների համար։ Ռադիալ կառուցվածքով։ Առանց օդախուց: Speed index  ոչ պակաս R: Արտադրող երկրի, արտադրության տարեթվի և արտադրողի նշագրումով: Անվադողի արտադրության տարեթիվը 2025 թվականի:Այլ պայմաններ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1-ից 4-րդ չափաբաժիններով ապրանքների փոխարինումը և անվահեծերի կարգաբերումը իրականացվում է Մատակարարի կողմից՝ ըստ Պատվիրատուի պահանջի, Երևան քաղաքում:
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Կապարաթթվային կուտակիչ մարտկոց 6ՍՏ-60Ա, JIS, 12 Վ: Կլեմոների + աջ: Մարտկոցի արտադրության տարեթիվը ոչ ուշ քան 2025 թվականի:Այլ պայմաններ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5-րդ չափաբաժնով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	Գնման գործընթացը կազմակերպվում է «Գնումների մասին» ՀՀ օրենքի 15-րդ հոդվածի 6-րդ մասով: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