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ՍԳԼ-էԱՃԱՊՁԲ-26/24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Սուրբ Գրիգոր Լուսավորիչ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ք. Երևան, Գյուրջյան 10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проведении электронного аукциона на поставку ортопедических имплантатов под кодом ՍԳԼ-էԱՃԱՊՁԲ-26/24 для нужд ООО «Святой Григор Лусаворич Медицинский Центр» на 2026</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Աիդա Համբարձումյան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a.hambardzumyan@keystone.am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091606942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Սուրբ Գրիգոր Լուսավորիչ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ՍԳԼ-էԱՃԱՊՁԲ-26/24</w:t>
      </w:r>
      <w:r w:rsidRPr="00E4651F">
        <w:rPr>
          <w:rFonts w:asciiTheme="minorHAnsi" w:hAnsiTheme="minorHAnsi" w:cstheme="minorHAnsi"/>
          <w:i/>
        </w:rPr>
        <w:br/>
      </w:r>
      <w:r w:rsidR="00A419E4" w:rsidRPr="00E4651F">
        <w:rPr>
          <w:rFonts w:asciiTheme="minorHAnsi" w:hAnsiTheme="minorHAnsi" w:cstheme="minorHAnsi"/>
          <w:szCs w:val="20"/>
          <w:lang w:val="af-ZA"/>
        </w:rPr>
        <w:t>2025.12.29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Սուրբ Գրիգոր Լուսավորիչ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Սուրբ Գրիգոր Լուսավորիչ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проведении электронного аукциона на поставку ортопедических имплантатов под кодом ՍԳԼ-էԱՃԱՊՁԲ-26/24 для нужд ООО «Святой Григор Лусаворич Медицинский Центр» на 2026</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проведении электронного аукциона на поставку ортопедических имплантатов под кодом ՍԳԼ-էԱՃԱՊՁԲ-26/24 для нужд ООО «Святой Григор Лусаворич Медицинский Центр» на 2026</w:t>
      </w:r>
      <w:r w:rsidR="00812F10" w:rsidRPr="00E4651F">
        <w:rPr>
          <w:rFonts w:cstheme="minorHAnsi"/>
          <w:b/>
          <w:lang w:val="ru-RU"/>
        </w:rPr>
        <w:t xml:space="preserve">ДЛЯ НУЖД </w:t>
      </w:r>
      <w:r w:rsidR="0039665E" w:rsidRPr="0039665E">
        <w:rPr>
          <w:rFonts w:cstheme="minorHAnsi"/>
          <w:b/>
          <w:u w:val="single"/>
          <w:lang w:val="af-ZA"/>
        </w:rPr>
        <w:t>Սուրբ Գրիգոր Լուսավորիչ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ՍԳԼ-էԱՃԱՊՁԲ-26/24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a.hambardzumyan@keystone.am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проведении электронного аукциона на поставку ортопедических имплантатов под кодом ՍԳԼ-էԱՃԱՊՁԲ-26/24 для нужд ООО «Святой Григор Лусаворич Медицинский Центр» на 2026</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Нецементированный бедренный стержень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Цементированный бедренный стержень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бедренной кости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Вкладыш вертлужной чаши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Цементная вертлужная чашка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Нецементная вертлужная чашка из трабекулярного титана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Винты вертлужной чашки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381.47</w:t>
      </w:r>
      <w:r>
        <w:rPr>
          <w:rFonts w:ascii="Calibri" w:hAnsi="Calibri" w:cstheme="minorHAnsi"/>
          <w:szCs w:val="22"/>
        </w:rPr>
        <w:t xml:space="preserve"> драмом, российский рубль </w:t>
      </w:r>
      <w:r>
        <w:rPr>
          <w:rFonts w:ascii="Calibri" w:hAnsi="Calibri" w:cstheme="minorHAnsi"/>
          <w:lang w:val="af-ZA"/>
        </w:rPr>
        <w:t>4.9007</w:t>
      </w:r>
      <w:r>
        <w:rPr>
          <w:rFonts w:ascii="Calibri" w:hAnsi="Calibri" w:cstheme="minorHAnsi"/>
          <w:szCs w:val="22"/>
        </w:rPr>
        <w:t xml:space="preserve"> драмом, евро </w:t>
      </w:r>
      <w:r>
        <w:rPr>
          <w:rFonts w:ascii="Calibri" w:hAnsi="Calibri" w:cstheme="minorHAnsi"/>
          <w:lang w:val="af-ZA"/>
        </w:rPr>
        <w:t>449.14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2026.01.09.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ՍԳԼ-էԱՃԱՊՁԲ-26/24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Սուրբ Գրիգոր Լուսավորիչ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ՍԳԼ-էԱՃԱՊՁԲ-26/24</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ՍԳԼ-էԱՃԱՊՁԲ-26/24</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"ՍԳԼ-էԱՃԱՊՁԲ-26/24"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Սուրբ Գրիգոր Լուսավորիչ ՓԲԸ*(далее — Заказчик) процедуре закупок под кодом ՍԳԼ-էԱՃԱՊՁԲ-26/24*.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"ՍԳԼ-էԱՃԱՊՁԲ-26/24"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Սուրբ Գրիգոր Լուսավորիչ ՓԲԸ*(далее — Заказчик) процедуре закупок под кодом ՍԳԼ-էԱՃԱՊՁԲ-26/24*.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ՍԳԼ-էԱՃԱՊՁԲ-26/24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Нецементированный бедренный стержень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Эндопротез представляет собой компонент для полной бесцементной фиксации тазобедренного сустава, материал изготовления — Ti6Al4V, покрытие — вся поверхность стержня, за исключением шейки, покрыта биоактивными материалами — чистым титаном и гидроксиапатитом, поперечное сечение овальное, угол — 135°, длина шейки — 40,5 мм, выпускается в 11 размерах, которые различаются по длине стержня (мм) и вылету (мм): N8 (115/38,4), N9 (130/38,9), N10 (140/39,8), N11 (145/40,7), N12 (150/41,3), N13 (155/42,2), N14 (460/43,1), N15 (165/44), N16 (170/44,8), N17 (180/45,6). N17+(190/46.3). Геометрия проксимальной части с имеющимися горизонтальными канавками должна преобразовывать окружные напряжения в сжимающие, а вертикальные канавки в дистальной части повышают устойчивость к вращению. Все компоненты должны быть изготовлены одним и тем же производителем для обеспечения их точной совместимости друг с другом. Победивший поставщик для установки компонентов должен бесплатно предоставлять необходимые электроинструменты для установки эндопротеза на весь период поставки, в частности: ортопедическую пилу, канюлированный ортопедический сверло. Формат: шт. Новые, неиспользованные. Не менее половины полного срока годности на момент поставки. Маркировка CE или сертификат качества FDA. Участник предоставляет письмо-разрешение, гарантийное письмо-разрешение, предоставленные производителем продукта вместе с заявкой, а также сертификат происхождения и сертификат соответствия, предоставленные производителем продукта на этапе исполнения контракта.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33181290/509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Цементированный бедренный стержень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Эндопротез представляет собой компонент для цементной фиксации тазобедренного и бедренного суставов. Материал изготовления — кобальт-хром-молибден (CoCrMo), покрытие отполировано по всей поверхности, поперечное сечение овальное, угол 135°, длина шейки 40,5 мм. Имеет 8 размеров, различающихся длиной и смещением (N7 (110/37,9), N8 (115/38,4), N9 (130/38,9), N10 (140/39,8), N11 (145/40,7), N12 (150/41,3), N13 (155/42,2), N14 (160/43,1)). На основании имеются метки уровня погружения, дистальный центратор для равномерного распределения цемента. Все компоненты должны быть изготовлены одним и тем же производителем для обеспечения их точной совместимости. Победивший поставщик на установку компонентов должен бесплатно предоставлять на весь период поставки... Необходимые электроинструменты для эндопротезирования, в частности: ортопедическая пила, канюлированная ортопедическая шина. Формат: шт. Новые, неиспользованные. Срок годности не менее половины от полного срока годности на момент поставки. Маркировка CE или сертификат качества FDA. Участник предоставляет вместе с заявкой письмо-разрешение, гарантийное письмо-разрешение, предоставленные производителем продукции, а также сертификат происхождения и сертификат соответствия, предоставленные производителем продукции на этапе исполнения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33181290/510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бедренной кости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Головка бедренной кости - материал изготовления: CoCrMo, покрытие: вся поверхность отполирована, диаметр головки от 28 мм до 36 мм, шаг ≤ 4 мм, конус головки: 12/14 мм, головка бедренной кости выпускается в 20 размерах: 1. 22/0, 22/3, 22/6, 22/9 - наружный диаметр 22 мм 2. 28/-6, 28/-3, 28/0, 28/3, 28/6, 28/9 - наружный диаметр 28 мм 3. 32/-6, 32/-3, 32/0, 32/3 32/6 - наружный диаметр 32 мм 4. 36/-6, 36/-3, 36/0, 36/3, 36/6 - наружный диаметр 36 мм. Все компоненты должны быть изготовлены компанией... Для обеспечения полной совместимости компонентов, поставщик-победитель должен бесплатно предоставлять в течение всего срока поставки необходимые электроинструменты для эндопротезирования, в частности: ортопедическую пилу, канюлированную ортопедическую шину. Формат: шт. Новые, неиспользованные. Срок годности не менее половины от полного срока годности на момент поставки. Наличие знака качества CE или сертификата качества FDA. Участник предоставляет вместе с заявкой разрешительное письмо, гарантийное письмо-разрешение, выданное производителем продукции, а на этапе исполнения договора — сертификат происхождения и сертификат соответствия, выданные производителем продукции.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33181290/511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Вкладыш вертлужной чаши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Вставка для альвеолярной чашки изготовлена ​​из сверхвысокомолекулярного полиэтилена последнего поколения (GUR1020) без стеарата кальция, сшитого (UHMWPE). Вставка имеет противоскользящее покрытие под углом 20 градусов. Доступны 6 размеров, различающихся внешним диаметром (мм) и совместимым размером головки (мм): 44-35/28, 46-37/28, 48-39/32, 52-44/36, 56-48/36, 62-52/36. Все компоненты должны быть изготовлены одним и тем же производителем для обеспечения их точной совместимости. Победивший поставщик для установки компонентов должен бесплатно предоставить необходимые электроинструменты для эндопротезирования, в частности: ортопедическую пилу, канюлированную ортопедическую шину, на весь период поставки. Формат: шт. Новые, неиспользованные. Не менее половины всего срока годности на момент поставки. Маркировка CE или сертификат качества FDA. Участник предоставляет вместе с заявкой письмо-разрешение, гарантийное письмо-разрешение от производителя продукции, а также сертификат происхождения и сертификат соответствия, предоставленные производителем продукции на этапе исполнения контракта.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33181290/512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Цементная вертлужная чашка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Цементируемая вертлужная чашка – материал изготовления: сверхвысокомолекулярный полиэтилен последнего поколения (ГУР1020) без стеарата кальция, сшитый (СВМПЭ), имеет 20-градусный противоскользящий элемент на вкладыше, рентгеноконтрастное металлическое кольцо, имеет 12 размеров (мм): 44, 46, 48, 50, 52, 54, 56, 58, 60, 62, 64, 66 соответственно, 46, 48, 50, 52, 54, 56, 58, 60, 62, 64, 66, 68 наружный диаметр (мм), совместимый размер головки 32 мм. Все компоненты должны быть изготовлены одним и тем же производителем для обеспечения их точной совместимости друг с другом. Поставщик, выигравший тендер на установку компонентов, обязан бесплатно предоставить необходимые электроинструменты для эндопротезирования на весь период поставки, в частности: ортопедическую пилу, канюлированную ортопедическую шину. Формат: шт. Новые, неиспользованные. Срок годности не менее половины от полного срока годности на момент поставки. Маркировка CE или сертификат качества FDA. Участник предоставляет вместе с заявкой письмо-разрешение, гарантийное письмо-разрешение от производителя продукции, а также сертификат происхождения и сертификат соответствия, предоставленные производителем продукции на этапе исполнения контракта.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33181290/513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Нецементная вертлужная чашка из трабекулярного титана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Бесцементная абатментная чашка, материал изготовления: Ti6Al4V, покрытие: трабекулярный титан, полученный из цифровых 3D-CAD моделей, вставки из UHMWPE, помимо конического соединения, фиксируются в чашке благодаря специальной эпициклоидальной системе, обеспечивающей фиксацию и стабильность вращения. Доступны в 10 размерах: внешний диаметр 46–48 мм, 48–50 мм, 50–52 мм, 52–54 мм, 54–56 мм, 56–58 мм с 3 отверстиями для винтов абатментной чашки,
60–62 мм, 62–64 мм, 64–66 мм с 5 отверстиями для винтов абатментной чашки. Все компоненты должны быть изготовлены одним и тем же производителем для обеспечения их точной совместимости друг с другом. Победивший поставщик на установку компонентов должен бесплатно предоставлять необходимые электроинструменты для установки эндопротеза на весь период поставки, в частности: ортопедическую пилу, канюлированную ортопедическую шину. Формат: шт. Новые, неиспользованные. Срок годности не менее половины от полного срока хранения на момент поставки. Маркировка CE или сертификат качества FDA. Участник предоставляет вместе с заявкой письмо-разрешение, гарантийное письмо-разрешение, предоставленные производителем продукции, а также сертификат происхождения и сертификат соответствия, предоставленные производителем продукции на этапе исполнения контракта.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33181290/514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Винты вертлужной чашки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Винты для альвеолярных чашек, материал изготовления: Ti6Al4V, 16 размеров: 6/16, 6/20, 6/28, 6/30, 6/31, 6/32, 6/33, 6/34, 6/35, 6/36, 6/37, 6/38, 6/39, 6/40, 6/45. Все компоненты должны быть изготовлены одним и тем же производителем для обеспечения их точной совместимости друг с другом. Победивший поставщик на установку компонентов должен бесплатно предоставить на весь период поставки необходимые электроинструменты для эндопротезирования, в частности: ортопедическую пилу, канюлированный ортопедический сверло. Формат: шт. Новые, неиспользованные. Не менее половины полного срока годности на момент поставки. Наличие знака качества CE или сертификата качества FDA. Участник предоставляет вместе с заявкой доверенность, гарантийно-доверенное письмо, выданные производителем продукции, а также сертификат происхождения и сертификат соответствия, выданные производителем продукции на этапе исполнения договора.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получения Заказа Покупателя для первого этапа, для последующих этапов поставки — в течение 3 рабочих дней после получения Заказа Покупателя, начиная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получения Заказа Покупателя для первого этапа, для последующих этапов поставки — в течение 3 рабочих дней после получения Заказа Покупателя, начиная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получения Заказа Покупателя для первого этапа, для последующих этапов поставки — в течение 3 рабочих дней после получения Заказа Покупателя, начиная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получения Заказа Покупателя для первого этапа, для последующих этапов поставки — в течение 3 рабочих дней после получения Заказа Покупателя, начиная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получения Заказа Покупателя для первого этапа, для последующих этапов поставки — в течение 3 рабочих дней после получения Заказа Покупателя, начиная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получения Заказа Покупателя для первого этапа, для последующих этапов поставки — в течение 3 рабочих дней после получения Заказа Покупателя, начиная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20 календарных дней после получения Заказа Покупателя для первого этапа, для последующих этапов поставки — в течение 3 рабочих дней после получения Заказа Покупателя, начиная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