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ՊՊԾ-ԷԱՃԱՊՁԲ-2026/3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ՊՊԾ-ԷԱՃԱՊՁԲ-2026/3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ՊՊԾ-ԷԱՃԱՊՁԲ-2026/3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ՊՊԾ-ԷԱՃԱՊՁԲ-2026/3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ՊՊԾ-ԷԱՃԱՊՁԲ-2026/3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ՊՊԾ-ԷԱՃԱՊՁԲ-2026/3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ՊՊԾ-ԷԱՃԱՊՁԲ-2026/3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ՊՊԾ-ԷԱՃԱՊՁԲ-2026/3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«ՊՊԾ-ԷԱՃԱՊՁԲ-2026/3»*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պահպանության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ՊՊԾ-ԷԱՃԱՊՁԲ-2026/3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նախարարություն աշխատակազմի գործառնական վարչություն թիվ 1 գանձապետարան 900005000741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«ՊՊԾ-ԷԱՃԱՊՁԲ-2026/3»*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«ՊՊԾ-ԷԱՃԱՊՁԲ-2026/3»*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ՊՊԾ-ԷԱՃԱՊՁԲ-2026/3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«ՊՊԾ-ԷԱՃԱՊՁԲ-2026/3»*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ՊՊԾ-ԷԱՃԱՊՁԲ-2026/3*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49-ից ոչ պակաս: 
Ցետանային ցուցիչը 46-ից ոչ պակաս: 
Խտությունը 15 0C ջերմաստիճանում 800-845 կգ/մ3:
Պոլիցիկլիկ արոմատիկ ածխա¬ջրածինների զանգվածային մասը 11%-ից ոչ ավելի: Ծծմբի պարունակությունը՝ 10 մգ/կգ-ից ոչ ավելի:
Բռնկման ջերմաստիճանը 550C-ից ոչ ցածր: 
Ածխածնի մնացորդը /կոքսելիությունը/ 10 % նստվածքում 0,3 %-ից ոչ ավելի: Մածուցիկությունը 40 0C-ում` 1,5-ից մինչև 4,0 մմ2/վ:
Պղտորման ջերմաստիճանը` մինուս 10 0C-ից ոչ բարձր: 
Մատակարարումը կտրոնային (կիրառելի է միայն լիտրով ձեռք բերելու դեպքում): Կտրոններն ուժի մեջ պետք է լինեն մատակարարման օրվան հաջորդող առնվազն 12 ամսվա ընթացքում և դրանք պետք է  սպասարկվեն  ՀՀ մարզերում և ք․ Երևանում։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սուպեր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98: Շարժիչային մեթոդով` ոչ պակաս 88: Կապարի պարունակությունը՝ 5 մգ/դմ3-ից ոչ ավելի: Խտությունը` 15 0C ջերմաստիճանում` 720-775 կգ/մ3: Ծծմբի պարունակությունը` 10 մգ/կգ-ից ոչ ավելի: Ածխաջրածինների ծավալային մասը, ոչ ավելի՝ արոմատիկ – 35 %, օլեֆիններ - 18 %, բենզոլի ծավալային մասը 1 %-ից ոչ ավելի: Թթվածնի զանգվածային մասը` 2,7 %-ից ոչ ավելի, օքսիդիչների ծավալային մասը, ոչ ավելի` մեթանոլ - 3 %, էթանոլ - 5 %, իզոպրոպիլ սպիրտ – 10 %, իզոբութիլ սպիրտ - 10 %, եռաբութիլ սպիրտ - 7 %, եթերներ (C5 և ավելի) - 15 %, այլ օքսիդիչներ - 10 %: Մատակարարվող վառելիքի մի մասը կտրոններով: Կտրոններն ուժի մեջ պետք է լինեն մատակարարման օրվան հաջորդող առնվազն 12 ամսվա ընթացքում և դրանք պետք է  սպասարկվեն  ՀՀ մարզերում և ք․ Երևանում։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15.12.2026թ.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30.06.2026թ.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30.09.2026թ.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բայց ոչ ուշ քան 15.12.2026թ.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