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2025.12.29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PPC-EAAPDZB-2026/3</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Служба государственной охраны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ул. Прошяна 1-ый туп. 20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Топливо для нужд СГО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Сюзанна Хуршудян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x_syuzi.91@mail.ru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010532358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Служба государственной охраны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PPC-EAAPDZB-2026/3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2025.12.29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Служба государственной охраны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Служба государственной охраны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Топливо для нужд СГО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Топливо для нужд СГО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Служба государственной охраны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PPC-EAAPDZB-2026/3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x_syuzi.91@mail.ru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Топливо для нужд СГО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 зима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супер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381.46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4.9132</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448.71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2026.01.15.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PPC-EAAPDZB-2026/3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Служба государственной охраны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PPC-EAAPDZB-2026/3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PPC-EAAPDZB-2026/3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PPC-EAAPDZB-2026/3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Служба государственной охраны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"PPC-EAAPDZB-2026/3"*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"PPC-EAAPDZB-2026/3"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Служба государственной охраны РА*(далее — Заказчик) процедуре закупок под кодом PPC-EAAPDZB-2026/3*.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PPC-EAAPDZB-2026/3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"PPC-EAAPDZB-2026/3"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Служба государственной охраны РА*(далее — Заказчик) процедуре закупок под кодом PPC-EAAPDZB-2026/3*.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PPC-EAAPDZB-2026/3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PPC-EAAPDZB-2026/3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 зима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49:  Цетановый индекс не менее 46:  Плотность при 15 ° C 800-845 кг/м3: Массовая доля полициклических ароматических углеводородов не более 11%. содержание серы: не более 10 мг / кг: Температура воспламенения не ниже 550 ° C:  Углеродный остаток /коксуемость / не более 0,3% в 10% осадке. вязкость при 40 ° C: от 1,5 до 4,0 мм2 / с: Температура размытия: не выше минус 10 ° C:  
Купоны должны быть действительны в течение как минимум 12 месяцев с даты выдачи и должны быть использованы в регионах Армении и г. Ереване. Безопасность, маркировка и упаковка согласно Техническому регламенту Таможенного союза «О требованиях к автомобильному и авиационному бензину, дизельному и судовому топливу, топливу для реактивных двигателей и мазуту» (ТС 013/2011), утвержденному Решением Комиссии Таможенного союза от 18 октября 2011 г. 2011 № 826. продавец также представляет покупателю сертификат соответствия от производителя или представителя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супер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98. По моторному методу: не менее 88. Содержание свинца: не более 5 мг/дм3. Плотность: при 15 0С: 720-775 кг/м3. Содержание серы: не более 10 мг/кг. Объемная доля углеводородов, не более: ароматических – 35%, олефинов – 18%, объемная доля бензола не более 1%. Массовая доля кислорода - не более 2,7%, объемная доля окислителей, не более: метанола - 3%, этанола - 5%, изопропилового спирта - 10%, изобутилового спирта - 10%, трет-бутилового спирта - 7%, эфиры (С5 и выше) - 15%, другие окислители - 10%. Часть топлива поставляется по талонам. Купоны должны быть действительны в течение как минимум 12 месяцев с даты последующего со дня поставки и должны быть обслужены в регионах Армении и г. Ереване․Безопасность, маркировка и упаковка согласно Техническому регламенту Таможенного союза «О требованиях к автомобильному и авиационному бензину, дизельному и судовому топливу, топливу для реактивных двигателей и мазуту» (ТС 013/2011), утвержденному Решением Комиссии Таможенного союза от 18 октября 2011 г. 2011 № 826. Продавец также предоставляет Покупателю сертификат соответствия от производителя товара или его представителя.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PPC-EAAPDZB-2026/3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даты вступления в силу соглашения, заключаемого между сторонами, но не позднее 31.03.2026г.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даты вступления в силу соглашения, заключаемого между сторонами, но не позднее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даты вступления в силу соглашения, заключаемого между сторонами, но не позднее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даты вступления в силу соглашения, заключаемого между сторонами, но не позднее 15.12.2026г.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даты вступления в силу соглашения, заключаемого между сторонами, но не позднее 31.03.2026г.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даты вступления в силу соглашения, заключаемого между сторонами, но не позднее 30.06.2026г.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даты вступления в силу соглашения, заключаемого между сторонами, но не позднее 30.09.2026г.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даты вступления в силу соглашения, заключаемого между сторонами, но не позднее 15.12.2026г.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PPC-EAAPDZB-2026/3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PPC-EAAPDZB-2026/3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PPC-EAAPDZB-2026/3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