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PPC-EAAPDzB-2026/2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Служба государственной охраны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ул. Прошяна 1-ый туп. 20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Топливо для нужд СГО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15</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15</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Сюзанна Хуршудян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x_syuzi.91@mail.ru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010532358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Служба государственной охраны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PPC-EAAPDzB-2026/2</w:t>
      </w:r>
      <w:r w:rsidRPr="00E4651F">
        <w:rPr>
          <w:rFonts w:asciiTheme="minorHAnsi" w:hAnsiTheme="minorHAnsi" w:cstheme="minorHAnsi"/>
          <w:i/>
        </w:rPr>
        <w:br/>
      </w:r>
      <w:r w:rsidR="00A419E4" w:rsidRPr="00E4651F">
        <w:rPr>
          <w:rFonts w:asciiTheme="minorHAnsi" w:hAnsiTheme="minorHAnsi" w:cstheme="minorHAnsi"/>
          <w:szCs w:val="20"/>
          <w:lang w:val="af-ZA"/>
        </w:rPr>
        <w:t>2025.12.29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Служба государственной охраны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Служба государственной охраны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Топливо для нужд СГО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Топливо для нужд СГО РА</w:t>
      </w:r>
      <w:r w:rsidR="00812F10" w:rsidRPr="00E4651F">
        <w:rPr>
          <w:rFonts w:cstheme="minorHAnsi"/>
          <w:b/>
          <w:lang w:val="ru-RU"/>
        </w:rPr>
        <w:t xml:space="preserve">ДЛЯ НУЖД </w:t>
      </w:r>
      <w:r w:rsidR="0039665E" w:rsidRPr="0039665E">
        <w:rPr>
          <w:rFonts w:cstheme="minorHAnsi"/>
          <w:b/>
          <w:u w:val="single"/>
          <w:lang w:val="af-ZA"/>
        </w:rPr>
        <w:t>Служба государственной охраны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PPC-EAAPDzB-2026/2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x_syuzi.91@mail.ru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Топливо для нужд СГО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летнее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381.46</w:t>
      </w:r>
      <w:r>
        <w:rPr>
          <w:rFonts w:ascii="Calibri" w:hAnsi="Calibri" w:cstheme="minorHAnsi"/>
          <w:szCs w:val="22"/>
        </w:rPr>
        <w:t xml:space="preserve"> драмом, российский рубль </w:t>
      </w:r>
      <w:r>
        <w:rPr>
          <w:rFonts w:ascii="Calibri" w:hAnsi="Calibri" w:cstheme="minorHAnsi"/>
          <w:lang w:val="af-ZA"/>
        </w:rPr>
        <w:t>4.9132</w:t>
      </w:r>
      <w:r>
        <w:rPr>
          <w:rFonts w:ascii="Calibri" w:hAnsi="Calibri" w:cstheme="minorHAnsi"/>
          <w:szCs w:val="22"/>
        </w:rPr>
        <w:t xml:space="preserve"> драмом, евро </w:t>
      </w:r>
      <w:r>
        <w:rPr>
          <w:rFonts w:ascii="Calibri" w:hAnsi="Calibri" w:cstheme="minorHAnsi"/>
          <w:lang w:val="af-ZA"/>
        </w:rPr>
        <w:t>448.71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2026.01.14.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PPC-EAAPDzB-2026/2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Служба государственной охраны РА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PPC-EAAPDzB-2026/2</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PPC-EAAPDzB-2026/2</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"PPC-EAAPDzB-2026/2"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государственной охраны РА*(далее — Заказчик) процедуре закупок под кодом PPC-EAAPDzB-2026/2*.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государственной охраны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"PPC-EAAPDzB-2026/2"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государственной охраны РА*(далее — Заказчик) процедуре закупок под кодом PPC-EAAPDzB-2026/2*.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государственной охраны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PPC-EAAPDzB-2026/2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Цетановый указатель не менее 46: Плотность при температуре 150С 820-845 кг / м3: Массовая доля полициклических ароматических углеводородов не более 11%.: Температура вспышки не ниже 55 ° С: Остаток углерода (коксельность) в осадке 10% не более 0,3%. вязкость в 400C от 2,0 до 4,5 мм2 / с: Температура помутнения: не выше 5 0C: Часть поставляемого топлива с чеками: Купоны должны быть действительны в течение как минимум 12 месяцев с даты последующего со дня поставки и должны быть обслужены в регионах Армении и г. Ереване.Безопасность, маркировка и упаковка в соответствии с Техническим регламентом Таможенного союза «О требованиях к автомобильному и авиационному бензину, дизельному и судовому топливу, реактивному топливу и мазуту» (ТК 013/2011 Таможенного союза), утвержденным Решением Комиссии Таможенного союза от 18 октября 2011 г. № 826. Продавец также представляет покупателю сертификат соответствия от производителя товара или его представителя: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Эчмиадзинское шоссе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начиная с даты вступления в силу соглашения, заключаемого между сторонами, но не позднее 31.03.2026г.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Эчмиадзинское шоссе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начиная с даты вступления в силу соглашения, заключаемого между сторонами, но не позднее 30.06.2026 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Эчмиадзинское шоссе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начиная с даты вступления в силу соглашения, заключаемого между сторонами, но не позднее 30.09.2026 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Эчмиадзинское шоссе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начиная с даты вступления в силу соглашения, заключаемого между сторонами, но не позднее 15.12.2026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