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բենզին ռեգուլյարի, դիզելային վառելիքի  և բնական սեղմված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Էդվին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077270194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martunihamaynq_gnum@mail.ru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բենզին ռեգուլյարի, դիզելային վառելիքի  և բնական սեղմված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բենզին ռեգուլյարի, դիզելային վառելիքի  և բնական սեղմված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martunihamaynq_gnum@mail.ru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բենզին ռեգուլյարի, դիզելային վառելիքի  և բնական սեղմված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2026.01.19.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կտրոնները սպասարկվեն Մարտունի համայնքի տարածքում
Մատակարարումն իրականացվելու է ըստ պահանջարկի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 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որ կտրոնները սպասարկվեն Մարտունի համայնքի տարածքում
Մատակարարումն իրականացվելու է ըստ պահանջարկի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և՛ կտրոնային, և՛ տեղում:
Պարտադիր պայման է, որ կտրոնները սպասարկվեն Մարտունի համայնքի տարածքում
Մատակարարումն իրականացվելու է ըստ պահանջարկի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2026թվականի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