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ԿՄԱՀ-ԷԱՃԱՊՁԲ-26/01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մարզի Ակունքի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Կենտրոնական խճուղի N 72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մարզի Ակունքի համայնքապետարանի կարիքների համար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Գարսևանյան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077830990</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garsevanyan_anush@mail.ru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մարզի Ակունքի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ԿՄԱՀ-ԷԱՃԱՊՁԲ-26/01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մարզի Ակունքի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մարզի Ակունքի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մարզի Ակունքի համայնքապետարանի կարիքների համար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մարզի Ակունքի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մարզի Ակունքի համայնքապետարանի կարիքների համար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ԿՄԱՀ-ԷԱՃԱՊՁԲ-26/01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garsevanyan_anush@mail.ru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մարզի Ակունքի համայնքապետարանի կարիքների համար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381</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2026.01.20.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10</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ԿՄԱՀ-ԷԱՃԱՊՁԲ-26/01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մարզի Ակունքի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ԿՄԱՀ-ԷԱՃԱՊՁԲ-26/01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ԿՄԱՀ-ԷԱՃԱՊՁԲ-26/01</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ԿՄԱՀ-ԷԱՃԱՊՁԲ-26/01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ԿՄԱՀ-ԷԱՃԱՊՁԲ-26/01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«ԿՄԱՀ-ԷԱՃԱՊՁԲ-26/01»*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Կոտայքի մարզի Ակունքի համայնքապետարան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ԿՄԱՀ-ԷԱՃԱՊՁԲ-26/01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ԿԳ 90010 2153013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«ԿՄԱՀ-ԷԱՃԱՊՁԲ-26/01»*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Կոտայքի մարզի Ակունքի համայնքապետարան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ԿՄԱՀ-ԷԱՃԱՊՁԲ-26/01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«ԿՄԱՀ-ԷԱՃԱՊՁԲ-26/01»*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Ակունքի համայնքապետարան*  (այսուհետ` Պատվիրատու) կողմից կազմակերպված` ԿՄԱՀ-ԷԱՃԱՊՁԲ-26/01*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Ակունքի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- 03546083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 2153013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ԿՄԱՀ-ԷԱՃԱՊՁԲ-26/01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«ԿՄԱՀ-ԷԱՃԱՊՁԲ-26/01»*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Կոտայքի մարզի Ակունքի համայնքապետարան*  (այսուհետ` Պատվիրատու) կողմից կազմակերպված` ԿՄԱՀ-ԷԱՃԱՊՁԲ-26/01*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Ակունքի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- 03546083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 2153013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ԱԿՈՒՆՔԻ ՀԱՄԱՅՆՔԱՊԵՏԱՐԱՆԻ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5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150 C ջերմաստիճանում 820-ից մինչև 845 կգ/մ3, ծծմբի պարունակությունը 350 մգ/կգ-ից ոչ ավելի, բռնկման ջերմաստիճանը 550 C-ից ոչ ցածր, ածխածնի մնացորդը 10% նստվածքում 0,3%-ից ոչ ավելի, մածուցիկությունը 400 C-ում` 2,0-ից մինչև 4,5 մմ2 /վ, պղտորման ջերմաստիճանը` 00 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կտրոններով, ըստ ամիսների, համաձայն վճարման ժամանակացույցի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գ. Ակունք Կենտրոնական խճուղի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կտրոններով, ըստ ամիսների, համաձայն վճարման ժամանակացույցի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