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ԿՄԱՀ-ԷԱՃԱՊՁԲ-26/02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Ակունք գյուղական համայնք</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Կենտրոնական խճուղի N 72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муниципалитета Акунк Котайкской области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Գարսևանյան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garsevanyan_anush@mail.ru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077830990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Ակունք գյուղական համայնք</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ԿՄԱՀ-ԷԱՃԱՊՁԲ-26/02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Ակունք գյուղական համայնք</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Ակունք գյուղական համայնք</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муниципалитета Акунк Котайкской области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муниципалитета Акунк Котайкской области РА</w:t>
      </w:r>
      <w:r w:rsidR="00812F10" w:rsidRPr="00E4651F">
        <w:rPr>
          <w:rFonts w:cstheme="minorHAnsi"/>
          <w:b/>
          <w:lang w:val="ru-RU"/>
        </w:rPr>
        <w:t xml:space="preserve">ДЛЯ НУЖД </w:t>
      </w:r>
      <w:r w:rsidR="0039665E" w:rsidRPr="0039665E">
        <w:rPr>
          <w:rFonts w:cstheme="minorHAnsi"/>
          <w:b/>
          <w:u w:val="single"/>
          <w:lang w:val="af-ZA"/>
        </w:rPr>
        <w:t>ՀՀ Կոտայքի մարզի Ակունք գյուղական համայնք</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ԿՄԱՀ-ԷԱՃԱՊՁԲ-26/02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garsevanyan_anush@mail.ru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муниципалитета Акунк Котайкской области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ԿՄԱՀ-ԷԱՃԱՊՁԲ-26/02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Կոտայքի մարզի Ակունք գյուղական համայնք</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ԿՄԱՀ-ԷԱՃԱՊՁԲ-26/02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ԿՄԱՀ-ԷԱՃԱՊՁԲ-26/02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"ԿՄԱՀ-ԷԱՃԱՊՁԲ-26/02"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Ակունք գյուղական համայնք*(далее — Заказчик) процедуре закупок под кодом ԿՄԱՀ-ԷԱՃԱՊՁԲ-26/02*.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Ակունք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- 03546083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 2153013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"ԿՄԱՀ-ԷԱՃԱՊՁԲ-26/02"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Ակունք գյուղական համայնք*(далее — Заказчик) процедуре закупок под кодом ԿՄԱՀ-ԷԱՃԱՊՁԲ-26/02*.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Ակունք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- 03546083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 2153013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ԿՄԱՀ-ԷԱՃԱՊՁԲ-26/02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содержание бензола
объемная доля не более 1%, плотность при 15 °C: от 720 до 775 кг/м3, содержание серы: не более 10 мг/кг, массовая доля кислорода: не более 2,7%, объемная доля окислителей: метанол-3%, этанол-5%, изопропиловый спирт-10%, изобутиловый спирт-10%, триб бутиловый спирт-7%, эфиры (C5 и больше)-15%, другое
окислители-10 %, безопасность, маркировка и упаковка согласно постановлению правительства РА от 2004 года. согласно "Техническому регламенту на топливо для двигателей внутреннего сгорания", утвержденному Решением № 1592 от 11 ноября, поставки по талонам, по месяцам, в соответствии с графиком 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обработки газа в технологических процессах НАДЖК: очистка смеси, удаление влаги и других загрязнений и сжатие, не предусматривающее изменения состава компонентов, в процессе заправки баллона избыточное давление сжатого топлива на природном газе должно соответствовать спецификациям НАДЖК и заправляемых газовых баллонов и не должно превышать предела давления 19,6 МПа. температура газа может быть выше температуры окружающей среды не более чем на 15 °C, стандарт ГОСТ 27577-87, условные обозначения: «боится огня«, безопасность: огнестойкая, взрывозащищенная, поставка как по талонам, так и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предназначенное для использования в гидравлических системах автомобилей с рабочей температурой не менее от -40 ° C до + 100 ° C
/ Газпромнефть, или Волга, или ВЕРСИМАКС, или Лукойл Супер, или айсберг, или люкс/
Контейнеры должны иметь обязательную заводскую маркировку поставляемого продукта, иметь сертификаты, соответствующие ассортименту. срок годности не менее 3 лет на момент поставки. поставка и обращение с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автомобилей с бензиновыми двигателями, в том числе с турбонаддувом, для всесезонного применения. обеспечивает смазывающие свойства в любое время года. вязкость: 10W40. /Газпромнефть, или Волга, или ВЕРСИМАКС, или Лукойл Супер, или айсберг, или люкс/
Контейнеры должны иметь обязательную заводскую маркировку поставляемого продукта, иметь сертификаты, соответствующие ассортименту. срок годности не менее 3 лет на момент поставки. поставка и обращение с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полусинтетический, предназначенный для грузовых автомобилей (MAZ 490143-390) с дизельным двигателем, в том числе (газ VIPO-18-101-3309) для турбодизельных двигателей,а также для внедорожной техники. Защищает двигатель даже в случае быстрой Вармы/Газпромнефть или Волга, или ВЕРСИМАКС, или Лукойл Супер, или айсберг, или люкс/Н: 
Контейнеры должны иметь обязательную заводскую маркировку поставляемого продукта, иметь сертификаты, соответствующие ассортименту. срок годности не менее 3 лет на момент поставки. поставка и обращение с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синтетические, предназначенные для дизельных двигателей: 
Международные стандарты: API*:
Степень вязкости: 20 Вт-50*:
Кинематическая вязкость при 400 ° C: 95,7* мм2 /с (St):
Кинематическая вязкость при 1000 ° C: 14,5* мм2 /с (St):
Индекс вязкости: не менее 169*:
Плотность при 150 ° C не менее 0,875*:
Температура самовоспламенения: не менее 223*:
Температура кристаллизации: не выше -42*:
Год выпуска: 2017.*:
Упаковка: в контейнерах емкостью 5-20 * литров:
/ Газпромнефть, или Волга, или ВЕРСИМАКС, или Лукойл Супер, или айсберг, или люкс/
Контейнеры должны иметь обязательную заводскую маркировку поставляемого продукта, иметь сертификаты, соответствующие ассортименту. срок годности не менее 3 лет на момент поставки. поставка и обращение с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Желтоватый. масляная смазка для сцепления, используемая для смазки подшипников автомобилей, тракторов, паровозов, сельскохозяйственной техники, узлов сцепления и зубчатых редукторов. рабочая температура -40+1200 ° C. На контейнерах обязательно должна быть заводская маркировка поставляемого продукта, иметь сертификаты, соответствующие ассортименту: 
Литол-24/Газпромнефть, или Волга, или ВЕРСИМАКС, или Лукойл Супер, или айсберг, или люкс/
Контейнеры должны иметь обязательную заводскую маркировку поставляемого продукта, иметь сертификаты, соответствующие ассортименту. срок годности не менее 3 лет на момент поставки. поставка и обращение с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КотКотайкская область, с. Источник Центральное шоссе 72айкская область, с. Источник Центральное шоссе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купонами по месяцам в соответствии с графиком оплаты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 Источник Центральное шоссе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купонами по месяцам в соответствии с графиком оплаты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 Источник Центральное шоссе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и обработка поставщиком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 Источник Центральное шоссе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и обработка поставщиком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 Источник Центральное шоссе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и обработка поставщиком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 Источник Центральное шоссе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и обработка поставщиком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 Источник Центральное шоссе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и обработка поставщиком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