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^qualification_period^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որոնց գործողության ժամկետը չպետք է պակաս լինի դրանց հանձնման օրվանից հաշված 12 ամսից: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Սեպտեմբեր-2023թ Հունվար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