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KSHMP-EAAPDzB-26/07</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KSHMP-EAAPDzB-26/07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KSHMP-EAAPDzB-26/07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KSHMP-EAAPDzB-26/07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KSHMP-EAAPDzB-26/07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KSHMP-EAAPDzB-26/07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KSHMP-EAAPDzB-26/07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381.39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4.7442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2026.01.27.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KSHMP-EAAPDzB-26/07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KSHMP-EAAPDzB-26/07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KSHMP-EAAPDzB-26/07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"KSHMP-EAAPDzB-26/07"*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KSHMP-EAAPDzB-26/07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"KSHMP-EAAPDzB-26/07"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"KSHMP-EAAPDzB-26/07"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KSHMP-EAAPDzB-26/07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или MITSUBISHI или NISSAN или Ford илиToyota — год выпуска 2025/2026, пробег — не более 500 км,
Двигатель дизел,
Объем двигателя не менее 2,4 л,
Мощность не менее 149/330 л.с., Н/м,
Автоматическая не менее 6-ступенчатая коробка передач,
Внешние габариты не менее 5320x1865x1775 мм,
Размеры багажного отделения не менее 1555x1545x525 мм (ш/д/в),
5 мест,
Вес не менее 1685 кг,
Объем багажника не менее 1080 л,
Объем топливного бака не менее 75 л,
Экстерьер: Передние противотуманные фары, Хромированные зеркала, Противотуманные фары, Колеса R16, Крылья, Запасное колесо
Комфорт: Тканевая обивка салона, Кондиционер, Сиденья второго ряда, складывающиеся в пропорции 60:40, Управление аудиосистемой с рулевого колеса (Hands-free), Датчик освещенности, Механически регулируемые сиденья, Центральный подлокотник с подстаканниками, Электрохромная отделка салона Зеркало заднего вида, Электрические стеклоподъемники, Электрические боковые зеркала, Дистанционное управление, Обогрев зеркала заднего вида с таймером, Центральный замок,
Мультимедиа: AM/FM-радио, 2 динамика, 12-вольтовая розетка,
Система Bluetooth, аудиоразъемы AUX и USB,
Системы безопасности: Система контроля тяги - частично подключенная, полный привод, колесная система (4x4/2H-4H),
Низкоскоростная коробка передач (4L),
(TPMS) Датчик давления в шинах,
(ABS) Антиблокировочная система тормозов,
(EBD) Электронное распределение тормозных усилий,
(ESP) Электронная система стабилизации,
(HSA) Система помощи при старте на подъеме,
(BA) Электронная система помощи при торможении,
Подушки безопасности.
Гарантия и послегарантийное обслуживание 3 года, без ограничения пробега.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4. Поставщик должен иметь сервисный центр в Ереване и максимум 10 км от города 5. Поставщик должен предоставить информацию об эксплуатации поставляемых продуктов (включая тип и характеристики масел, используемых для двигателя и гидравлической системы автомобиля, для зимнего и летнего периодов), а также условия хранения.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2-й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календарных дней со дня вступления в силу заключаемого между сторонами соглашения в случае предусмотрения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