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ԿՇՄՊ-ԷԱՃԱՊՁԲ-26/07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2026 թվականի կարիքների համար ԿՇՄՊ-ԷԱՃԱՊՁԲ-26/07 ծածկագրով  էլեկտրոնային աճուրդ ընթացակարգով փոքրածավալ բեռնատարների (պիկապների)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ԿՇՄՊ-ԷԱՃԱՊՁԲ-26/07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2026 թվականի կարիքների համար ԿՇՄՊ-ԷԱՃԱՊՁԲ-26/07 ծածկագրով  էլեկտրոնային աճուրդ ընթացակարգով փոքրածավալ բեռնատարների (պիկապների)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2026 թվականի կարիքների համար ԿՇՄՊ-ԷԱՃԱՊՁԲ-26/07 ծածկագրով  էլեկտրոնային աճուրդ ընթացակարգով փոքրածավալ բեռնատարների (պիկապների)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ԿՇՄՊ-ԷԱՃԱՊՁԲ-26/07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2026 թվականի կարիքների համար ԿՇՄՊ-ԷԱՃԱՊՁԲ-26/07 ծածկագրով  էլեկտրոնային աճուրդ ընթացակարգով փոքրածավալ բեռնատարների (պիկապների)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381.39</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4.7442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445.43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15</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ԿՇՄՊ-ԷԱՃԱՊՁԲ-26/07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ԿՇՄՊ-ԷԱՃԱՊՁԲ-26/07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ԿՇՄՊ-ԷԱՃԱՊՁԲ-26/07</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ԿՇՄՊ-ԷԱՃԱՊՁԲ-26/07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ԿՇՄՊ-ԷԱՃԱՊՁԲ-26/07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«ԿՇՄՊ-ԷԱՃԱՊՁԲ-26/07»*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«Կանաչապատում և շրջակա միջավայրի պահպանություն» ՀՈԱԿ</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ԿՇՄՊ-ԷԱՃԱՊՁԲ-26/07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Ամերիաբանկ ՓԲԸ 1570088982620100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«ԿՇՄՊ-ԷԱՃԱՊՁԲ-26/07»*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«Կանաչապատում և շրջակա միջավայրի պահպանություն» ՀՈԱԿ</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ԿՇՄՊ-ԷԱՃԱՊՁԲ-26/07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«ԿՇՄՊ-ԷԱՃԱՊՁԲ-26/07»*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ԿՇՄՊ-ԷԱՃԱՊՁԲ-26/07*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ԿՇՄՊ-ԷԱՃԱՊՁԲ-26/07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«ԿՇՄՊ-ԷԱՃԱՊՁԲ-26/07»*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ԿՇՄՊ-ԷԱՃԱՊՁԲ-26/07*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օրը՝վազքը անսահմանափակ :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կամ MITSUBISHI կամ NISSAN կամ Ford կամ Toyota արտադրության, արտադրության տարեթիվը 2025/2026 թվական, Վազքը	- Ոչ ավել քան 500 կմ,
Շարժիչ  դիզելային,
Աշխատանքային ծավալ  առնվազն 2․4 լ,
Հզորություն     առնվազն     149/330 (ձ/ուժ, ն/մ),
Փոխանցման տուփ  ավտոմատ  առնվազն 6 աստիճան,
Արտաքին չափսեր    առնվազն      5320x1865x1775մմ,
Բեռնախցիկի չափսեր առնվազն 1555x1545x525մմ(ե/լ/խ) ,    
Նստատեղեր    5,
Քաշ   առնվազն 1685 կգ,
Բեռնատարողությունը  առնվազն 1080 լ,
Վառելիքի բակի տարողություն առնվազն 75 լ,
Էքստերիեր` Առջևի հակամառախուղային լուսարձակներ, Քրոմապատ հայլիներ, Հակամառախուղային լուսարձակներ, Անվահեծեր  R16, Ցեխամղիչներ,Պահեստային անվադող                                                                              
Հարմարավետություն` Կտորե սրահ, Օդորակիչ,  Երկրորդ շարքի նստատեղերը ծալվող 60։40 հարաբերակցությամբ, Աուդիոհամակարգի ղեկավարում ղեկանվից (Hands-free), Լույսի սենսոր, Նստատեղերը մեխանիկական կարգավորմամբ,Կենտրոնական արնկակալ բաժակակալերով, Էլեկտրաքրոմիկ ներքին հետին հայելի ,Ապակիների էլեկտրակառավարում, Էլեկտրակառավարվող, կողային հայելիներ , Հեռակառավարման վահանակ,  Հետնապակու տաքացուցիչ թայմերով, Կենտրոնական փական ,
Մուլտիմեդիա`AM/FM ռադիո 2 ձայնասփյուռ, 12 վոլտի համար նախատեսված վարդակ,                                           
Bluetooth համակարգ, Աուդիո միակցիչներ AUX և USB,
Անվտանգության համակարգեր`Քարշակման համակարգը-Մասնակի միացմամբ, լիաքարշակ,  անիվային համակարգ (4x4/2H-4H) ,
Իջեցվող փոխանցման տուփ (4L),
(TPMS) Անիվների ճնշման ցուցիչ ,
(ABS) Արգելակային հակաբլոկավորման համակարգ,
(EBD) Արգելակման ուժի էլեկտրոնային բաշխման համակարգ,
(ESP) Կուրսային կայունության էլեկտրոնային համակարգ,
(HSA) Վերելքի վրա ավտոմեքենայի կանգին օժանդակող համակարգ,
(BA) Վթարային արգելակմանը օժանդակող էլեկտրոնային համակարգ ,
Անվտանգության բարձիկներ:
Երաշխիք և հետերաշխիքային ծառայություն 3 տարի՝ վազքը անսահմանափակ։
1․ Ապրանքը պետք է համապատասխանի որակի նկատմամբ պահանջներին, որոնք սահմանվում են տեխնիկական կանոնակարգով, ստանդարտացման ոլորտում փաստաթղթերին, պետական ստանդարտներին, որոնք կիրառվում են այդպիսի ապրանքների համար։ 
2․ Ապրանքը պետք է մինչ այդ շահագործման մեջ եղած չլինի, մինչ այդ ենթարկված չլինի վերանորոգման, նորացման կամ վերականգման, չպետք է գտնվի գրավի, արգելանքի կամ այլ ծանրաբեռնության տակ։
3․ Ապրանքի վրա չպետք է լինեն մեխանիկական վնասվածքների հետքեր, ինչպես նաև մատակարարվող Ապրանքի պաշտոնական նկարագրությանն այլ անհամապատասխանություններ։ 
4. Մատակարարը Երևան քաղաքում  և քաղաքից առավելագույնը 10կմ հեռավորության վրա պետք է ունենա  սպասարկման կենտրոն:    
 5․ Մատակարարի կողմից պետք է ներկայացվեն մատակարարվող ապրանքների շահագործման (այդ թվում՝ մեքենայի շարժիչի և հիդրավլիկ համակարգի համար օգտագործվող յուղերի տեսակը և բնութագիրը՝ ձմեռային և ամառային ժամանակահատվածների համար) ինչպես նաև պահպանման պայմանները: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120-րդ օրացույցային օրը: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