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ՍԿԿ-ԷԱՃԾՁԲ-26/02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ЗАО ‘‘Центр спортивного управления’’</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г. Ереван, Ул. Манандян 41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облачных сервисов для нужд ЗАО ‘‘Центр спортивного управления’’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Марина Мурадян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gnumnerskk.toms@gmail.com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+37495-498-818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‘‘Центр спортивного управления’’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ՍԿԿ-ԷԱՃԾՁԲ-26/02</w:t>
      </w:r>
      <w:r w:rsidRPr="005704A1">
        <w:rPr>
          <w:rFonts w:ascii="Calibri" w:hAnsi="Calibri" w:cs="Times Armenian"/>
          <w:lang w:val="ru-RU"/>
        </w:rPr>
        <w:br/>
      </w:r>
      <w:r w:rsidRPr="005704A1">
        <w:rPr>
          <w:rFonts w:ascii="Calibri" w:hAnsi="Calibri" w:cstheme="minorHAnsi"/>
          <w:lang w:val="af-ZA"/>
        </w:rPr>
        <w:t>2025.12.30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‘‘Центр спортивного управления’’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‘‘Центр спортивного управления’’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облачных сервисов для нужд ЗАО ‘‘Центр спортивного управления’’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облачных сервисов для нужд ЗАО ‘‘Центр спортивного управления’’</w:t>
      </w:r>
      <w:r w:rsidR="005704A1" w:rsidRPr="005704A1">
        <w:rPr>
          <w:rFonts w:ascii="Calibri" w:hAnsi="Calibri"/>
          <w:b/>
          <w:lang w:val="ru-RU"/>
        </w:rPr>
        <w:t>ДЛЯНУЖД</w:t>
      </w:r>
      <w:r w:rsidR="00D80C43" w:rsidRPr="00D80C43">
        <w:rPr>
          <w:rFonts w:ascii="Calibri" w:hAnsi="Calibri"/>
          <w:b/>
          <w:lang w:val="hy-AM"/>
        </w:rPr>
        <w:t>ЗАО ‘‘Центр спортивного управления’’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ՍԿԿ-ԷԱՃԾՁԲ-26/02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gnumnerskk.toms@gmail.com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облачных сервисов для нужд ЗАО ‘‘Центр спортивного управления’’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381.36</w:t>
      </w:r>
      <w:r w:rsidRPr="005704A1">
        <w:rPr>
          <w:rFonts w:ascii="Calibri" w:hAnsi="Calibri"/>
          <w:szCs w:val="22"/>
        </w:rPr>
        <w:t xml:space="preserve"> драмом, российский рубль </w:t>
      </w:r>
      <w:r w:rsidRPr="005704A1">
        <w:rPr>
          <w:rFonts w:ascii="Calibri" w:hAnsi="Calibri"/>
          <w:lang w:val="hy-AM"/>
        </w:rPr>
        <w:t>4.8711</w:t>
      </w:r>
      <w:r w:rsidRPr="005704A1">
        <w:rPr>
          <w:rFonts w:ascii="Calibri" w:hAnsi="Calibri"/>
          <w:szCs w:val="22"/>
        </w:rPr>
        <w:t xml:space="preserve">драмом, евро </w:t>
      </w:r>
      <w:r w:rsidRPr="005704A1">
        <w:rPr>
          <w:rFonts w:ascii="Calibri" w:hAnsi="Calibri"/>
          <w:lang w:val="hy-AM"/>
        </w:rPr>
        <w:t>449.01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ՍԿԿ-ԷԱՃԾՁԲ-26/02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‘‘Центр спортивного управления’’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ՍԿԿ-ԷԱՃԾՁԲ-26/02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ՍԿԿ-ԷԱՃԾՁԲ-26/02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"ՍԿԿ-ԷԱՃԾՁԲ-26/02"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"ՍԿԿ-ԷԱՃԾՁԲ-26/02"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‘‘Центр спортивного управления’’*(далее — Заказчик) процедуре закупок под кодом ՍԿԿ-ԷԱՃԾՁԲ-26/02*.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ՍԿԿ-ԷԱՃԾՁԲ-26/02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Данная услуга предполагает ускорение работы шахматных вычислительных программ (движков) с использованием облачных вычислительных систем. Она предназначена для предоставления профессиональным шахматистам анализа ходов со значительно большей вычислительной мощностью, чем у персональных компьютеров.
Для работы услуги требуется 83 часа анализа с использованием самого мощного в мире движка Stockfish, работающего со скоростью не менее 750 МН/с (миллион узлов в секунду).
Сервис обеспечивает постоянное обновление до последних версий шахматных движков и ежедневную техническую поддержку для всех пользователей.
Шахматистам также предоставляется возможность использовать облачные серверы как через шахматные программы (в частности, через программу ChessBase), так и без установки дополнительных программ, через веб-сайт, что позволяет использовать сервис с любого компьютера или другого устройства, например, телефона.
Минуты распределяются заранее между тренерами и шахматистами в соответствии с заявкой, поданной Шахматной федерацией.
При необходимости минуты также перераспределяются по запросу Шахматной федерации.
Если выделенные минуты не используются полностью в течение данного турнира, они остаются за счет игроков и могут быть использованы для подготовки к будущим турнирам. Минуты должны быть использованы в течение данного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окончания срока действия предоставленных минут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