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ՃԱԿ-ԷԱՃԱՊՁԲ-26/07 ծածկագրով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ՃԱԿ-ԷԱՃԱՊՁԲ-26/07 ծածկագրով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ՃԱԿ-ԷԱՃԱՊՁԲ-26/07 ծածկագրով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ՃԱԿ-ԷԱՃԱՊՁԲ-26/07 ծածկագրով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ՃԱԿ-ԷԱՃԱՊՁԲ-26/07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ՃԱԿ-ԷԱՃԱՊՁԲ-26/07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ՃԱՄԲԱՐԱԿԻ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Կտրոնային տարբերակով լիցքավորման հնարավորություն ապահովել ՀՀ բոլոր մարզերում, և ք. Երևանում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Մատակարարումը՝կտրոնային: Մատակարարումը՝ Կտրոնային տարբերակով լինելու դեպքում լիցքավորման հնարավորություն ապահովել ՀՀ բոլոր մարզերում, և ք. Երևանում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փուլային մատակարարման դեպքում` առաջին փուլի մատակարարման ժամկետը՝ 20 օրացուցային օր,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փուլային մատակարարման դեպքում` առաջին փուլի մատակարարման ժամկետը՝ 20 օրացուցային օր,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