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ՃԱԿ-ԷԱՃԱՊՁԲ-26/08 ծածկագրով շտրիխ կոդի սկանավորման, տպման և ինտերֆեյսի փոխարկիչի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ՃԱԿ-ԷԱՃԱՊՁԲ-26/08 ծածկագրով շտրիխ կոդի սկանավորման, տպման և ինտերֆեյսի փոխարկիչի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ՃԱԿ-ԷԱՃԱՊՁԲ-26/08 ծածկագրով շտրիխ կոդի սկանավորման, տպման և ինտերֆեյսի փոխարկիչի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ՃԱԿ-ԷԱՃԱՊՁԲ-26/08 ծածկագրով շտրիխ կոդի սկանավորման, տպման և ինտերֆեյսի փոխարկիչի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ինտերֆեյսի պարունակության փոխարկիչ MOXA NPort 5110 կամ համարժեք
Տեխնիկական բնութագիրը՝
•	Սարքի կարգավորումները պետք է հնարավոր լինի իրականացնել ոչ պակաս քան Serial Console, Windows Utility, Telnet Console և Web Console (HTTP) տարբերակներով։
•	Միջերեսների քանակը՝ 2, RS232 և 10/100BaseT(X) RJ45
•	Սարքի կառավարումը պետք է հնարավոր լինի իրականացնել ոչ պակաս քան DHCP Client, IPv4, SMTP, Telnet, DNS, HTTP, ARP, BOOTP, UDP, TCP/IP և ICMP տարբերակներով։
•	Մագնիսական մեկուսացման պաշտպանության առկայություն առնվազն 1.5 կՎ (ներկառուցված)
•	Անվտանգության ստանդարտները ոչ պակաս քան EN 62368-1, IEC 62368-1 և UL 60950-1
•	Էլեկտրամագնիսական զգայունությունը (EMS) պետք է համապատասխանի առնվազն ՝
o	IEC 61000-4-2 ESD: Contact: 4 kV; Air: 8 kV 
o	IEC 61000-4-3 RS: 80 MHz to 1 GHz: 3 V/m
o	IEC 61000-4-4 EFT: Power: 1 kV; Signal: 1 kV 
o	IEC 61000-4-5 Surge: Power: 1 kV
o	IEC 61000-4-6 CS: 150 kHz to 80 MHz: 3 V/m; Signal: 3 V/m I
o	IEC 61000-4-8 PFMF IEC 61000-4-11
•	Խափանումների միջև ընկած ժամանակահատվածը (MTBF) առնվազն 3,126,448 ժամ
•	Windows-ի ծրագրային ապահովման առկայություն (driver) Windows 11, 10, 8.1, 8, 7, Vista, XP, Windows Server 2022, 2019, 2016, 2012 R2, 2012, 2008 R2, 2008, 2003 և Windows Embedded CE 6.0, 5.0, ինչպես նաև Windows XP Embedded օպերացիոն համակարգերի համար
•	Նույնականացման տվյալները պահպանվում են սարքի վրա
•	Աշխատանքային ռեժիմները՝ անջատված, Ethernet Modem, Pair Connection, Real COM, Reverse Telnet, TCP Client, TCP Server, UDP
•	Արտադրողի երաշխիքային ժամկետը ոչ պակաս քան 5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առնվազը 1 տարի
Լրակազմը պետք է ներառի սարքի աշխատանքի համար նախատեսված պարագաները և երաշխիքային կտրոնը: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Ճամբարակլ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Ճամբարակլ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Ճամբարակլ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